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1E372" w14:textId="77777777" w:rsidR="00990BD0" w:rsidRDefault="0041006E" w:rsidP="005D2F49">
      <w:pPr>
        <w:pStyle w:val="BodyText"/>
      </w:pPr>
      <w:bookmarkStart w:id="0" w:name="_GoBack"/>
      <w:bookmarkEnd w:id="0"/>
      <w:r>
        <w:t>NAKAMA GROUP PLC</w:t>
      </w:r>
    </w:p>
    <w:p w14:paraId="7EEF82A6" w14:textId="77777777" w:rsidR="00990BD0" w:rsidRDefault="0041006E">
      <w:pPr>
        <w:spacing w:before="107" w:line="340" w:lineRule="auto"/>
        <w:ind w:left="117" w:right="8014"/>
        <w:rPr>
          <w:b/>
        </w:rPr>
      </w:pPr>
      <w:r>
        <w:rPr>
          <w:b/>
          <w:color w:val="231F20"/>
        </w:rPr>
        <w:t>Annual General Meeting FORM OF PROXY</w:t>
      </w:r>
    </w:p>
    <w:p w14:paraId="45740C6C" w14:textId="77777777" w:rsidR="00990BD0" w:rsidRDefault="0041006E">
      <w:pPr>
        <w:spacing w:before="175"/>
        <w:ind w:left="117"/>
        <w:rPr>
          <w:sz w:val="14"/>
        </w:rPr>
      </w:pPr>
      <w:r>
        <w:rPr>
          <w:color w:val="231F20"/>
          <w:sz w:val="14"/>
        </w:rPr>
        <w:t>I/We ...................................................................................................................................................................................................................................................................</w:t>
      </w:r>
    </w:p>
    <w:p w14:paraId="100D574A" w14:textId="77777777" w:rsidR="00990BD0" w:rsidRDefault="00990BD0">
      <w:pPr>
        <w:pStyle w:val="BodyText"/>
        <w:spacing w:before="2"/>
        <w:rPr>
          <w:sz w:val="15"/>
        </w:rPr>
      </w:pPr>
    </w:p>
    <w:p w14:paraId="6ADA735E" w14:textId="77777777" w:rsidR="00990BD0" w:rsidRDefault="0041006E">
      <w:pPr>
        <w:ind w:left="117"/>
        <w:rPr>
          <w:sz w:val="14"/>
        </w:rPr>
      </w:pPr>
      <w:r>
        <w:rPr>
          <w:color w:val="231F20"/>
          <w:sz w:val="14"/>
        </w:rPr>
        <w:t>of  .......................................................................................................................................................................................................................................................................</w:t>
      </w:r>
    </w:p>
    <w:p w14:paraId="5988D3E9" w14:textId="77777777" w:rsidR="00990BD0" w:rsidRDefault="0041006E">
      <w:pPr>
        <w:spacing w:before="6"/>
        <w:ind w:left="117"/>
        <w:rPr>
          <w:b/>
          <w:sz w:val="14"/>
        </w:rPr>
      </w:pPr>
      <w:r>
        <w:rPr>
          <w:b/>
          <w:color w:val="231F20"/>
          <w:sz w:val="14"/>
        </w:rPr>
        <w:t>(Please insert full name(s) and address(es) in block letters)</w:t>
      </w:r>
    </w:p>
    <w:p w14:paraId="713667BC" w14:textId="77777777" w:rsidR="00990BD0" w:rsidRDefault="00990BD0">
      <w:pPr>
        <w:pStyle w:val="BodyText"/>
        <w:spacing w:before="2"/>
        <w:rPr>
          <w:b/>
          <w:sz w:val="15"/>
        </w:rPr>
      </w:pPr>
    </w:p>
    <w:p w14:paraId="4F368C2F" w14:textId="77777777" w:rsidR="00990BD0" w:rsidRDefault="0041006E">
      <w:pPr>
        <w:ind w:left="117"/>
        <w:rPr>
          <w:sz w:val="14"/>
        </w:rPr>
      </w:pPr>
      <w:r>
        <w:rPr>
          <w:color w:val="231F20"/>
          <w:sz w:val="14"/>
        </w:rPr>
        <w:t>being (a) member(s) of the above-named Company, pursuant to Article 62 of the articles of association of the Company, hereby appoint the Chairman of the meeting or</w:t>
      </w:r>
    </w:p>
    <w:p w14:paraId="7AACCEB2" w14:textId="77777777" w:rsidR="00990BD0" w:rsidRDefault="00990BD0">
      <w:pPr>
        <w:pStyle w:val="BodyText"/>
        <w:spacing w:before="2"/>
        <w:rPr>
          <w:sz w:val="15"/>
        </w:rPr>
      </w:pPr>
    </w:p>
    <w:p w14:paraId="52828AE2" w14:textId="77777777" w:rsidR="00990BD0" w:rsidRDefault="0041006E">
      <w:pPr>
        <w:ind w:left="117"/>
        <w:rPr>
          <w:sz w:val="14"/>
        </w:rPr>
      </w:pPr>
      <w:r>
        <w:rPr>
          <w:color w:val="231F20"/>
          <w:sz w:val="14"/>
        </w:rPr>
        <w:t>............................................................................................................................................................................................................................................................................</w:t>
      </w:r>
    </w:p>
    <w:p w14:paraId="7516E2A1" w14:textId="77777777" w:rsidR="00990BD0" w:rsidRDefault="00990BD0">
      <w:pPr>
        <w:pStyle w:val="BodyText"/>
        <w:spacing w:before="2"/>
        <w:rPr>
          <w:sz w:val="15"/>
        </w:rPr>
      </w:pPr>
    </w:p>
    <w:p w14:paraId="0A013539" w14:textId="77777777" w:rsidR="00990BD0" w:rsidRDefault="0041006E">
      <w:pPr>
        <w:ind w:left="117"/>
        <w:rPr>
          <w:sz w:val="14"/>
        </w:rPr>
      </w:pPr>
      <w:r>
        <w:rPr>
          <w:color w:val="231F20"/>
          <w:sz w:val="14"/>
        </w:rPr>
        <w:t>of  .......................................................................................................................................................................................................................................................................</w:t>
      </w:r>
    </w:p>
    <w:p w14:paraId="6B639390" w14:textId="77777777" w:rsidR="00990BD0" w:rsidRDefault="0041006E">
      <w:pPr>
        <w:spacing w:before="7"/>
        <w:ind w:left="117"/>
        <w:rPr>
          <w:b/>
          <w:sz w:val="14"/>
        </w:rPr>
      </w:pPr>
      <w:r>
        <w:rPr>
          <w:b/>
          <w:color w:val="231F20"/>
          <w:sz w:val="14"/>
        </w:rPr>
        <w:t>(See Note 2 below)</w:t>
      </w:r>
    </w:p>
    <w:p w14:paraId="6620DC91" w14:textId="77777777" w:rsidR="00990BD0" w:rsidRDefault="00990BD0">
      <w:pPr>
        <w:pStyle w:val="BodyText"/>
        <w:spacing w:before="2"/>
        <w:rPr>
          <w:b/>
          <w:sz w:val="15"/>
        </w:rPr>
      </w:pPr>
    </w:p>
    <w:p w14:paraId="3353666A" w14:textId="14B494EB" w:rsidR="00990BD0" w:rsidRDefault="0041006E" w:rsidP="003A7E27">
      <w:pPr>
        <w:ind w:left="117"/>
        <w:rPr>
          <w:sz w:val="14"/>
        </w:rPr>
      </w:pPr>
      <w:r>
        <w:rPr>
          <w:color w:val="231F20"/>
          <w:sz w:val="14"/>
        </w:rPr>
        <w:t xml:space="preserve">as my/our proxy or proxies to vote for me/us and on my/our behalf at the Annual General Meeting of the Company to be held on </w:t>
      </w:r>
      <w:r w:rsidR="00737F05" w:rsidRPr="00737F05">
        <w:rPr>
          <w:color w:val="231F20"/>
          <w:sz w:val="14"/>
        </w:rPr>
        <w:t>17</w:t>
      </w:r>
      <w:r w:rsidRPr="00737F05">
        <w:rPr>
          <w:color w:val="231F20"/>
          <w:sz w:val="14"/>
        </w:rPr>
        <w:t xml:space="preserve"> </w:t>
      </w:r>
      <w:r w:rsidR="00737F05" w:rsidRPr="00737F05">
        <w:rPr>
          <w:color w:val="231F20"/>
          <w:sz w:val="14"/>
        </w:rPr>
        <w:t>October 2019</w:t>
      </w:r>
      <w:r w:rsidRPr="00737F05">
        <w:rPr>
          <w:color w:val="231F20"/>
          <w:sz w:val="14"/>
        </w:rPr>
        <w:t xml:space="preserve"> </w:t>
      </w:r>
      <w:r w:rsidRPr="00A85F0E">
        <w:rPr>
          <w:color w:val="231F20"/>
          <w:sz w:val="14"/>
        </w:rPr>
        <w:t>at</w:t>
      </w:r>
      <w:r w:rsidR="003A7E27" w:rsidRPr="00A85F0E">
        <w:rPr>
          <w:color w:val="231F20"/>
          <w:sz w:val="14"/>
        </w:rPr>
        <w:t xml:space="preserve"> the office of  Allenby Capital Limited, 5th Floor, 5 St Helen's Place, London, EC3A 6AB at </w:t>
      </w:r>
      <w:r w:rsidRPr="00A85F0E">
        <w:rPr>
          <w:color w:val="231F20"/>
          <w:sz w:val="14"/>
        </w:rPr>
        <w:t>11.00 a.m. and at any adjournment of that meeting and to vote at that meeting as indicated</w:t>
      </w:r>
      <w:r>
        <w:rPr>
          <w:color w:val="231F20"/>
          <w:sz w:val="14"/>
        </w:rPr>
        <w:t xml:space="preserve"> below.</w:t>
      </w:r>
    </w:p>
    <w:p w14:paraId="218CB538" w14:textId="77777777" w:rsidR="00990BD0" w:rsidRDefault="00990BD0">
      <w:pPr>
        <w:pStyle w:val="BodyText"/>
        <w:spacing w:before="2"/>
        <w:rPr>
          <w:sz w:val="15"/>
        </w:rPr>
      </w:pPr>
    </w:p>
    <w:p w14:paraId="2E10EE7A" w14:textId="77777777" w:rsidR="00990BD0" w:rsidRDefault="0041006E">
      <w:pPr>
        <w:spacing w:line="249" w:lineRule="auto"/>
        <w:ind w:left="117"/>
        <w:rPr>
          <w:sz w:val="14"/>
        </w:rPr>
      </w:pPr>
      <w:r>
        <w:rPr>
          <w:noProof/>
          <w:lang w:val="en-GB" w:eastAsia="en-GB"/>
        </w:rPr>
        <mc:AlternateContent>
          <mc:Choice Requires="wps">
            <w:drawing>
              <wp:anchor distT="0" distB="0" distL="114300" distR="114300" simplePos="0" relativeHeight="1048" behindDoc="0" locked="0" layoutInCell="1" allowOverlap="1" wp14:anchorId="18147375" wp14:editId="639E14F6">
                <wp:simplePos x="0" y="0"/>
                <wp:positionH relativeFrom="page">
                  <wp:posOffset>471170</wp:posOffset>
                </wp:positionH>
                <wp:positionV relativeFrom="paragraph">
                  <wp:posOffset>247015</wp:posOffset>
                </wp:positionV>
                <wp:extent cx="173355" cy="173355"/>
                <wp:effectExtent l="13970" t="6985" r="12700"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0FC09" id="Rectangle 4" o:spid="_x0000_s1026" style="position:absolute;margin-left:37.1pt;margin-top:19.45pt;width:13.65pt;height:13.6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8kShAIAABMFAAAOAAAAZHJzL2Uyb0RvYy54bWysVFGP2jAMfp+0/xDlHdpC4aC6cjpRmCbd&#10;ttNu+wEhSWm0NOmSQGHT/vucBBhsL9O0PqRO7Nj+7M+5fzi0Eu25sUKrEmfDFCOuqGZCbUv8+dN6&#10;MMPIOqIYkVrxEh+5xQ+L16/u+67gI91oybhB4ETZou9K3DjXFUliacNbYoe64wqUtTYtcbA124QZ&#10;0oP3ViajNJ0mvTasM5pya+G0ikq8CP7rmlP3oa4td0iWGHJzYTVh3fg1WdyTYmtI1wh6SoP8QxYt&#10;EQqCXlxVxBG0M+IPV62gRltduyHVbaLrWlAeMACaLP0NzUtDOh6wQHFsdymT/X9u6fv9s0GClXiM&#10;kSIttOgjFI2oreQo9+XpO1uA1Uv3bDxA2z1p+sUipZcNWPFHY3TfcMIgqczbJzcX/MbCVbTp32kG&#10;3snO6VCpQ21a7xBqgA6hIcdLQ/jBIQqH2d14PJlgREF1kn0EUpwvd8a6N1y3yAslNpB6cE72T9ZF&#10;07OJj6X0WkgJ56SQCvUlno4nabhgtRTMKwNGs90spUF7AqwZjbP1KBAF4t6Yec8VsU20C6rIp1Y4&#10;ILUUbYlnqf/isa/SSrEQ3hEhowxepfJRATQkfZIieb7P0/lqtprlg3w0XQ3ytKoGj+tlPpius7tJ&#10;Na6Wyyr74QFkedEIxrjyGM5EzvK/I8pppCIFL1S+wWqvS7IOX2j2TUmS2zRCpwDV+R/QBXp4RkRm&#10;bTQ7AjuMjpMJLwkIjTbfMOphKktsv+6I4RjJtwoYNs/y3I9x2OSTO2gMMteazbWGKAquSuwwiuLS&#10;xdHfdUZsG4iUheYr/QisrEVgjGdszOrEZZi8gOD0SvjRvt4Hq19v2eInAAAA//8DAFBLAwQUAAYA&#10;CAAAACEAIz+dteAAAAAIAQAADwAAAGRycy9kb3ducmV2LnhtbEyPQUvDQBSE74L/YXmCN7tpbGMb&#10;81KKIHjQoq0g3jbZ1ySYfRt2t236792e9DjMMPNNsRpNL47kfGcZYTpJQBDXVnfcIHzunu8WIHxQ&#10;rFVvmRDO5GFVXl8VKtf2xB903IZGxBL2uUJoQxhyKX3dklF+Ygfi6O2tMypE6RqpnTrFctPLNEky&#10;aVTHcaFVAz21VP9sDwZBz1531r6/bfx3ttfz9bn6elk6xNubcf0IItAY/sJwwY/oUEamyh5Ye9Ej&#10;PMzSmES4XyxBXPxkOgdRIWRZCrIs5P8D5S8AAAD//wMAUEsBAi0AFAAGAAgAAAAhALaDOJL+AAAA&#10;4QEAABMAAAAAAAAAAAAAAAAAAAAAAFtDb250ZW50X1R5cGVzXS54bWxQSwECLQAUAAYACAAAACEA&#10;OP0h/9YAAACUAQAACwAAAAAAAAAAAAAAAAAvAQAAX3JlbHMvLnJlbHNQSwECLQAUAAYACAAAACEA&#10;aN/JEoQCAAATBQAADgAAAAAAAAAAAAAAAAAuAgAAZHJzL2Uyb0RvYy54bWxQSwECLQAUAAYACAAA&#10;ACEAIz+dteAAAAAIAQAADwAAAAAAAAAAAAAAAADeBAAAZHJzL2Rvd25yZXYueG1sUEsFBgAAAAAE&#10;AAQA8wAAAOsFAAAAAA==&#10;" filled="f" strokecolor="#231f20" strokeweight=".5pt">
                <w10:wrap anchorx="page"/>
              </v:rect>
            </w:pict>
          </mc:Fallback>
        </mc:AlternateContent>
      </w:r>
      <w:r>
        <w:rPr>
          <w:color w:val="231F20"/>
          <w:sz w:val="14"/>
        </w:rPr>
        <w:t>Please indicate how you wish your proxy or proxies to vote by inserting “X” in the box below. Where no “X” is inserted, and on any other resolutions proposed at the meeting, your proxy will vote or abstain from voting as he/she thinks fit.</w:t>
      </w:r>
    </w:p>
    <w:p w14:paraId="5A997C96" w14:textId="77777777" w:rsidR="00990BD0" w:rsidRDefault="0041006E">
      <w:pPr>
        <w:spacing w:before="101"/>
        <w:ind w:left="478"/>
        <w:rPr>
          <w:sz w:val="14"/>
        </w:rPr>
      </w:pPr>
      <w:r>
        <w:rPr>
          <w:color w:val="231F20"/>
          <w:sz w:val="14"/>
        </w:rPr>
        <w:t>Please tick here if this proxy appointment is one of multiple proxies being made (and refer to note 2 below).</w:t>
      </w:r>
    </w:p>
    <w:p w14:paraId="4D4D5E28" w14:textId="77777777" w:rsidR="00990BD0" w:rsidRDefault="00990BD0">
      <w:pPr>
        <w:pStyle w:val="BodyText"/>
        <w:spacing w:before="4"/>
        <w:rPr>
          <w:sz w:val="29"/>
        </w:rPr>
      </w:pPr>
    </w:p>
    <w:tbl>
      <w:tblPr>
        <w:tblW w:w="0" w:type="auto"/>
        <w:tblInd w:w="11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110"/>
        <w:gridCol w:w="1418"/>
        <w:gridCol w:w="1092"/>
        <w:gridCol w:w="1885"/>
      </w:tblGrid>
      <w:tr w:rsidR="00990BD0" w14:paraId="1BECFB69" w14:textId="77777777" w:rsidTr="00C42D63">
        <w:trPr>
          <w:trHeight w:val="305"/>
        </w:trPr>
        <w:tc>
          <w:tcPr>
            <w:tcW w:w="6110" w:type="dxa"/>
          </w:tcPr>
          <w:p w14:paraId="2C22124D" w14:textId="77777777" w:rsidR="00990BD0" w:rsidRDefault="0041006E">
            <w:pPr>
              <w:pStyle w:val="TableParagraph"/>
              <w:spacing w:before="38"/>
              <w:ind w:left="2501" w:right="2501"/>
              <w:jc w:val="center"/>
              <w:rPr>
                <w:sz w:val="14"/>
              </w:rPr>
            </w:pPr>
            <w:r>
              <w:rPr>
                <w:color w:val="231F20"/>
                <w:sz w:val="14"/>
              </w:rPr>
              <w:t>RESOLUTIONS</w:t>
            </w:r>
          </w:p>
        </w:tc>
        <w:tc>
          <w:tcPr>
            <w:tcW w:w="1418" w:type="dxa"/>
          </w:tcPr>
          <w:p w14:paraId="3224F1C9" w14:textId="77777777" w:rsidR="00990BD0" w:rsidRDefault="0041006E">
            <w:pPr>
              <w:pStyle w:val="TableParagraph"/>
              <w:spacing w:before="38"/>
              <w:ind w:left="545" w:right="545"/>
              <w:jc w:val="center"/>
              <w:rPr>
                <w:sz w:val="14"/>
              </w:rPr>
            </w:pPr>
            <w:r>
              <w:rPr>
                <w:color w:val="231F20"/>
                <w:sz w:val="14"/>
              </w:rPr>
              <w:t>FOR</w:t>
            </w:r>
          </w:p>
        </w:tc>
        <w:tc>
          <w:tcPr>
            <w:tcW w:w="1092" w:type="dxa"/>
          </w:tcPr>
          <w:p w14:paraId="4E5C6F61" w14:textId="77777777" w:rsidR="00990BD0" w:rsidRDefault="0041006E">
            <w:pPr>
              <w:pStyle w:val="TableParagraph"/>
              <w:spacing w:before="38"/>
              <w:ind w:left="414"/>
              <w:rPr>
                <w:sz w:val="14"/>
              </w:rPr>
            </w:pPr>
            <w:r>
              <w:rPr>
                <w:color w:val="231F20"/>
                <w:sz w:val="14"/>
              </w:rPr>
              <w:t>AGAINST</w:t>
            </w:r>
          </w:p>
        </w:tc>
        <w:tc>
          <w:tcPr>
            <w:tcW w:w="1885" w:type="dxa"/>
          </w:tcPr>
          <w:p w14:paraId="4B29C164" w14:textId="77777777" w:rsidR="00990BD0" w:rsidRDefault="0041006E">
            <w:pPr>
              <w:pStyle w:val="TableParagraph"/>
              <w:spacing w:before="38" w:line="249" w:lineRule="auto"/>
              <w:ind w:left="357" w:right="354" w:firstLine="176"/>
              <w:rPr>
                <w:sz w:val="14"/>
              </w:rPr>
            </w:pPr>
            <w:r>
              <w:rPr>
                <w:color w:val="231F20"/>
                <w:sz w:val="14"/>
              </w:rPr>
              <w:t xml:space="preserve">VOTE </w:t>
            </w:r>
            <w:r>
              <w:rPr>
                <w:color w:val="231F20"/>
                <w:w w:val="95"/>
                <w:sz w:val="14"/>
              </w:rPr>
              <w:t>WITHHELD</w:t>
            </w:r>
          </w:p>
        </w:tc>
      </w:tr>
      <w:tr w:rsidR="00990BD0" w14:paraId="76BDD169" w14:textId="77777777" w:rsidTr="00C42D63">
        <w:trPr>
          <w:trHeight w:val="228"/>
        </w:trPr>
        <w:tc>
          <w:tcPr>
            <w:tcW w:w="6110" w:type="dxa"/>
          </w:tcPr>
          <w:p w14:paraId="6D75BC11" w14:textId="64522040" w:rsidR="00990BD0" w:rsidRPr="00737F05" w:rsidRDefault="0041006E">
            <w:pPr>
              <w:pStyle w:val="TableParagraph"/>
              <w:tabs>
                <w:tab w:val="left" w:pos="429"/>
              </w:tabs>
              <w:spacing w:before="38"/>
              <w:ind w:left="69"/>
              <w:rPr>
                <w:sz w:val="14"/>
              </w:rPr>
            </w:pPr>
            <w:r w:rsidRPr="00737F05">
              <w:rPr>
                <w:color w:val="231F20"/>
                <w:sz w:val="14"/>
              </w:rPr>
              <w:t>1.</w:t>
            </w:r>
            <w:r w:rsidRPr="00737F05">
              <w:rPr>
                <w:color w:val="231F20"/>
                <w:sz w:val="14"/>
              </w:rPr>
              <w:tab/>
            </w:r>
            <w:proofErr w:type="gramStart"/>
            <w:r w:rsidRPr="00737F05">
              <w:rPr>
                <w:color w:val="231F20"/>
                <w:spacing w:val="-8"/>
                <w:sz w:val="14"/>
              </w:rPr>
              <w:t xml:space="preserve">To  </w:t>
            </w:r>
            <w:r w:rsidRPr="00737F05">
              <w:rPr>
                <w:color w:val="231F20"/>
                <w:sz w:val="14"/>
              </w:rPr>
              <w:t>receive</w:t>
            </w:r>
            <w:proofErr w:type="gramEnd"/>
            <w:r w:rsidRPr="00737F05">
              <w:rPr>
                <w:color w:val="231F20"/>
                <w:sz w:val="14"/>
              </w:rPr>
              <w:t xml:space="preserve"> the Accounts for the year ended 31 March</w:t>
            </w:r>
            <w:r w:rsidRPr="00737F05">
              <w:rPr>
                <w:color w:val="231F20"/>
                <w:spacing w:val="-2"/>
                <w:sz w:val="14"/>
              </w:rPr>
              <w:t xml:space="preserve"> </w:t>
            </w:r>
            <w:r w:rsidR="00C6373E" w:rsidRPr="00737F05">
              <w:rPr>
                <w:color w:val="231F20"/>
                <w:sz w:val="14"/>
              </w:rPr>
              <w:t>201</w:t>
            </w:r>
            <w:r w:rsidR="00C42D63" w:rsidRPr="00737F05">
              <w:rPr>
                <w:color w:val="231F20"/>
                <w:sz w:val="14"/>
              </w:rPr>
              <w:t>9</w:t>
            </w:r>
          </w:p>
        </w:tc>
        <w:tc>
          <w:tcPr>
            <w:tcW w:w="1418" w:type="dxa"/>
          </w:tcPr>
          <w:p w14:paraId="58BCB89B" w14:textId="77777777" w:rsidR="00990BD0" w:rsidRDefault="00990BD0">
            <w:pPr>
              <w:pStyle w:val="TableParagraph"/>
              <w:rPr>
                <w:rFonts w:ascii="Times New Roman"/>
                <w:sz w:val="12"/>
              </w:rPr>
            </w:pPr>
          </w:p>
        </w:tc>
        <w:tc>
          <w:tcPr>
            <w:tcW w:w="1092" w:type="dxa"/>
          </w:tcPr>
          <w:p w14:paraId="5B0309D1" w14:textId="77777777" w:rsidR="00990BD0" w:rsidRDefault="00990BD0">
            <w:pPr>
              <w:pStyle w:val="TableParagraph"/>
              <w:rPr>
                <w:rFonts w:ascii="Times New Roman"/>
                <w:sz w:val="12"/>
              </w:rPr>
            </w:pPr>
          </w:p>
        </w:tc>
        <w:tc>
          <w:tcPr>
            <w:tcW w:w="1885" w:type="dxa"/>
          </w:tcPr>
          <w:p w14:paraId="1E9C8C44" w14:textId="77777777" w:rsidR="00990BD0" w:rsidRDefault="00990BD0">
            <w:pPr>
              <w:pStyle w:val="TableParagraph"/>
              <w:rPr>
                <w:rFonts w:ascii="Times New Roman"/>
                <w:sz w:val="12"/>
              </w:rPr>
            </w:pPr>
          </w:p>
        </w:tc>
      </w:tr>
      <w:tr w:rsidR="00990BD0" w14:paraId="6B9344F7" w14:textId="77777777" w:rsidTr="00C42D63">
        <w:trPr>
          <w:trHeight w:val="228"/>
        </w:trPr>
        <w:tc>
          <w:tcPr>
            <w:tcW w:w="6110" w:type="dxa"/>
          </w:tcPr>
          <w:p w14:paraId="6B1798A3" w14:textId="006CE743" w:rsidR="00990BD0" w:rsidRDefault="0041006E">
            <w:pPr>
              <w:pStyle w:val="TableParagraph"/>
              <w:tabs>
                <w:tab w:val="left" w:pos="429"/>
              </w:tabs>
              <w:spacing w:before="38"/>
              <w:ind w:left="69"/>
              <w:rPr>
                <w:sz w:val="14"/>
              </w:rPr>
            </w:pPr>
            <w:r>
              <w:rPr>
                <w:color w:val="231F20"/>
                <w:sz w:val="14"/>
              </w:rPr>
              <w:t>2.</w:t>
            </w:r>
            <w:r>
              <w:rPr>
                <w:color w:val="231F20"/>
                <w:sz w:val="14"/>
              </w:rPr>
              <w:tab/>
            </w:r>
            <w:proofErr w:type="gramStart"/>
            <w:r>
              <w:rPr>
                <w:color w:val="231F20"/>
                <w:spacing w:val="-8"/>
                <w:sz w:val="14"/>
              </w:rPr>
              <w:t xml:space="preserve">To  </w:t>
            </w:r>
            <w:r>
              <w:rPr>
                <w:color w:val="231F20"/>
                <w:sz w:val="14"/>
              </w:rPr>
              <w:t>re</w:t>
            </w:r>
            <w:proofErr w:type="gramEnd"/>
            <w:r>
              <w:rPr>
                <w:color w:val="231F20"/>
                <w:sz w:val="14"/>
              </w:rPr>
              <w:t xml:space="preserve">-appoint </w:t>
            </w:r>
            <w:r w:rsidR="00C42D63">
              <w:rPr>
                <w:color w:val="231F20"/>
                <w:sz w:val="14"/>
              </w:rPr>
              <w:t>HAZLEWOODS</w:t>
            </w:r>
            <w:r>
              <w:rPr>
                <w:color w:val="231F20"/>
                <w:sz w:val="14"/>
              </w:rPr>
              <w:t xml:space="preserve"> LLP as</w:t>
            </w:r>
            <w:r>
              <w:rPr>
                <w:color w:val="231F20"/>
                <w:spacing w:val="-6"/>
                <w:sz w:val="14"/>
              </w:rPr>
              <w:t xml:space="preserve"> </w:t>
            </w:r>
            <w:r>
              <w:rPr>
                <w:color w:val="231F20"/>
                <w:sz w:val="14"/>
              </w:rPr>
              <w:t>auditors</w:t>
            </w:r>
          </w:p>
        </w:tc>
        <w:tc>
          <w:tcPr>
            <w:tcW w:w="1418" w:type="dxa"/>
          </w:tcPr>
          <w:p w14:paraId="034789D9" w14:textId="77777777" w:rsidR="00990BD0" w:rsidRDefault="00990BD0">
            <w:pPr>
              <w:pStyle w:val="TableParagraph"/>
              <w:rPr>
                <w:rFonts w:ascii="Times New Roman"/>
                <w:sz w:val="12"/>
              </w:rPr>
            </w:pPr>
          </w:p>
        </w:tc>
        <w:tc>
          <w:tcPr>
            <w:tcW w:w="1092" w:type="dxa"/>
          </w:tcPr>
          <w:p w14:paraId="6A7FFB35" w14:textId="77777777" w:rsidR="00990BD0" w:rsidRDefault="00990BD0">
            <w:pPr>
              <w:pStyle w:val="TableParagraph"/>
              <w:rPr>
                <w:rFonts w:ascii="Times New Roman"/>
                <w:sz w:val="12"/>
              </w:rPr>
            </w:pPr>
          </w:p>
        </w:tc>
        <w:tc>
          <w:tcPr>
            <w:tcW w:w="1885" w:type="dxa"/>
          </w:tcPr>
          <w:p w14:paraId="4AD514FF" w14:textId="77777777" w:rsidR="00990BD0" w:rsidRDefault="00990BD0">
            <w:pPr>
              <w:pStyle w:val="TableParagraph"/>
              <w:rPr>
                <w:rFonts w:ascii="Times New Roman"/>
                <w:sz w:val="12"/>
              </w:rPr>
            </w:pPr>
          </w:p>
        </w:tc>
      </w:tr>
      <w:tr w:rsidR="00990BD0" w14:paraId="0452F886" w14:textId="77777777" w:rsidTr="00C42D63">
        <w:trPr>
          <w:trHeight w:val="228"/>
        </w:trPr>
        <w:tc>
          <w:tcPr>
            <w:tcW w:w="6110" w:type="dxa"/>
          </w:tcPr>
          <w:p w14:paraId="0BC998C4" w14:textId="77777777" w:rsidR="00990BD0" w:rsidRDefault="0041006E">
            <w:pPr>
              <w:pStyle w:val="TableParagraph"/>
              <w:tabs>
                <w:tab w:val="left" w:pos="429"/>
              </w:tabs>
              <w:spacing w:before="38"/>
              <w:ind w:left="69"/>
              <w:rPr>
                <w:sz w:val="14"/>
              </w:rPr>
            </w:pPr>
            <w:r>
              <w:rPr>
                <w:color w:val="231F20"/>
                <w:sz w:val="14"/>
              </w:rPr>
              <w:t>3.</w:t>
            </w:r>
            <w:r>
              <w:rPr>
                <w:color w:val="231F20"/>
                <w:sz w:val="14"/>
              </w:rPr>
              <w:tab/>
            </w:r>
            <w:proofErr w:type="gramStart"/>
            <w:r>
              <w:rPr>
                <w:color w:val="231F20"/>
                <w:spacing w:val="-8"/>
                <w:sz w:val="14"/>
              </w:rPr>
              <w:t xml:space="preserve">To  </w:t>
            </w:r>
            <w:proofErr w:type="spellStart"/>
            <w:r>
              <w:rPr>
                <w:color w:val="231F20"/>
                <w:sz w:val="14"/>
              </w:rPr>
              <w:t>authorise</w:t>
            </w:r>
            <w:proofErr w:type="spellEnd"/>
            <w:proofErr w:type="gramEnd"/>
            <w:r>
              <w:rPr>
                <w:color w:val="231F20"/>
                <w:sz w:val="14"/>
              </w:rPr>
              <w:t xml:space="preserve"> the Directors to determine the auditors’</w:t>
            </w:r>
            <w:r>
              <w:rPr>
                <w:color w:val="231F20"/>
                <w:spacing w:val="15"/>
                <w:sz w:val="14"/>
              </w:rPr>
              <w:t xml:space="preserve"> </w:t>
            </w:r>
            <w:r>
              <w:rPr>
                <w:color w:val="231F20"/>
                <w:sz w:val="14"/>
              </w:rPr>
              <w:t>remuneration</w:t>
            </w:r>
          </w:p>
        </w:tc>
        <w:tc>
          <w:tcPr>
            <w:tcW w:w="1418" w:type="dxa"/>
          </w:tcPr>
          <w:p w14:paraId="4FF6535F" w14:textId="77777777" w:rsidR="00990BD0" w:rsidRDefault="00990BD0">
            <w:pPr>
              <w:pStyle w:val="TableParagraph"/>
              <w:rPr>
                <w:rFonts w:ascii="Times New Roman"/>
                <w:sz w:val="12"/>
              </w:rPr>
            </w:pPr>
          </w:p>
        </w:tc>
        <w:tc>
          <w:tcPr>
            <w:tcW w:w="1092" w:type="dxa"/>
          </w:tcPr>
          <w:p w14:paraId="37E937E2" w14:textId="77777777" w:rsidR="00990BD0" w:rsidRDefault="00990BD0">
            <w:pPr>
              <w:pStyle w:val="TableParagraph"/>
              <w:rPr>
                <w:rFonts w:ascii="Times New Roman"/>
                <w:sz w:val="12"/>
              </w:rPr>
            </w:pPr>
          </w:p>
        </w:tc>
        <w:tc>
          <w:tcPr>
            <w:tcW w:w="1885" w:type="dxa"/>
          </w:tcPr>
          <w:p w14:paraId="0911A0D0" w14:textId="77777777" w:rsidR="00990BD0" w:rsidRDefault="00990BD0">
            <w:pPr>
              <w:pStyle w:val="TableParagraph"/>
              <w:rPr>
                <w:rFonts w:ascii="Times New Roman"/>
                <w:sz w:val="12"/>
              </w:rPr>
            </w:pPr>
          </w:p>
        </w:tc>
      </w:tr>
      <w:tr w:rsidR="00990BD0" w14:paraId="7615972F" w14:textId="77777777" w:rsidTr="00C42D63">
        <w:trPr>
          <w:trHeight w:val="228"/>
        </w:trPr>
        <w:tc>
          <w:tcPr>
            <w:tcW w:w="6110" w:type="dxa"/>
          </w:tcPr>
          <w:p w14:paraId="7E14DF8D" w14:textId="013491FC" w:rsidR="00990BD0" w:rsidRDefault="0041006E" w:rsidP="00C6373E">
            <w:pPr>
              <w:pStyle w:val="TableParagraph"/>
              <w:tabs>
                <w:tab w:val="left" w:pos="429"/>
              </w:tabs>
              <w:spacing w:before="38"/>
              <w:ind w:left="69"/>
              <w:rPr>
                <w:sz w:val="14"/>
              </w:rPr>
            </w:pPr>
            <w:r>
              <w:rPr>
                <w:color w:val="231F20"/>
                <w:sz w:val="14"/>
              </w:rPr>
              <w:t>4.</w:t>
            </w:r>
            <w:r>
              <w:rPr>
                <w:color w:val="231F20"/>
                <w:sz w:val="14"/>
              </w:rPr>
              <w:tab/>
            </w:r>
            <w:proofErr w:type="gramStart"/>
            <w:r>
              <w:rPr>
                <w:color w:val="231F20"/>
                <w:spacing w:val="-8"/>
                <w:sz w:val="14"/>
              </w:rPr>
              <w:t>To</w:t>
            </w:r>
            <w:r w:rsidR="000058BC">
              <w:rPr>
                <w:color w:val="231F20"/>
                <w:spacing w:val="-8"/>
                <w:sz w:val="14"/>
              </w:rPr>
              <w:t xml:space="preserve"> </w:t>
            </w:r>
            <w:r>
              <w:rPr>
                <w:color w:val="231F20"/>
                <w:spacing w:val="-8"/>
                <w:sz w:val="14"/>
              </w:rPr>
              <w:t xml:space="preserve"> </w:t>
            </w:r>
            <w:r w:rsidR="00DF1903">
              <w:rPr>
                <w:color w:val="231F20"/>
                <w:spacing w:val="-8"/>
                <w:sz w:val="14"/>
              </w:rPr>
              <w:t>re</w:t>
            </w:r>
            <w:proofErr w:type="gramEnd"/>
            <w:r w:rsidR="000058BC">
              <w:rPr>
                <w:color w:val="231F20"/>
                <w:spacing w:val="-8"/>
                <w:sz w:val="14"/>
              </w:rPr>
              <w:t>-</w:t>
            </w:r>
            <w:r>
              <w:rPr>
                <w:color w:val="231F20"/>
                <w:sz w:val="14"/>
              </w:rPr>
              <w:t xml:space="preserve">appoint </w:t>
            </w:r>
            <w:r w:rsidR="00C6373E">
              <w:rPr>
                <w:color w:val="231F20"/>
                <w:sz w:val="14"/>
              </w:rPr>
              <w:t>Timothy Sheffield</w:t>
            </w:r>
            <w:r>
              <w:rPr>
                <w:color w:val="231F20"/>
                <w:sz w:val="14"/>
              </w:rPr>
              <w:t xml:space="preserve"> as a</w:t>
            </w:r>
            <w:r>
              <w:rPr>
                <w:color w:val="231F20"/>
                <w:spacing w:val="2"/>
                <w:sz w:val="14"/>
              </w:rPr>
              <w:t xml:space="preserve"> </w:t>
            </w:r>
            <w:r>
              <w:rPr>
                <w:color w:val="231F20"/>
                <w:sz w:val="14"/>
              </w:rPr>
              <w:t>Director</w:t>
            </w:r>
          </w:p>
        </w:tc>
        <w:tc>
          <w:tcPr>
            <w:tcW w:w="1418" w:type="dxa"/>
          </w:tcPr>
          <w:p w14:paraId="01D1313E" w14:textId="77777777" w:rsidR="00990BD0" w:rsidRDefault="00990BD0">
            <w:pPr>
              <w:pStyle w:val="TableParagraph"/>
              <w:rPr>
                <w:rFonts w:ascii="Times New Roman"/>
                <w:sz w:val="12"/>
              </w:rPr>
            </w:pPr>
          </w:p>
        </w:tc>
        <w:tc>
          <w:tcPr>
            <w:tcW w:w="1092" w:type="dxa"/>
          </w:tcPr>
          <w:p w14:paraId="515AC54E" w14:textId="77777777" w:rsidR="00990BD0" w:rsidRDefault="00990BD0">
            <w:pPr>
              <w:pStyle w:val="TableParagraph"/>
              <w:rPr>
                <w:rFonts w:ascii="Times New Roman"/>
                <w:sz w:val="12"/>
              </w:rPr>
            </w:pPr>
          </w:p>
        </w:tc>
        <w:tc>
          <w:tcPr>
            <w:tcW w:w="1885" w:type="dxa"/>
          </w:tcPr>
          <w:p w14:paraId="22501A81" w14:textId="77777777" w:rsidR="00990BD0" w:rsidRDefault="00990BD0">
            <w:pPr>
              <w:pStyle w:val="TableParagraph"/>
              <w:rPr>
                <w:rFonts w:ascii="Times New Roman"/>
                <w:sz w:val="12"/>
              </w:rPr>
            </w:pPr>
          </w:p>
        </w:tc>
      </w:tr>
      <w:tr w:rsidR="00990BD0" w14:paraId="184F0ABC" w14:textId="77777777" w:rsidTr="00C42D63">
        <w:trPr>
          <w:trHeight w:val="228"/>
        </w:trPr>
        <w:tc>
          <w:tcPr>
            <w:tcW w:w="6110" w:type="dxa"/>
          </w:tcPr>
          <w:p w14:paraId="3555DB7D" w14:textId="58748DBB" w:rsidR="002E6CF0" w:rsidRPr="002E6CF0" w:rsidRDefault="0041006E" w:rsidP="00396105">
            <w:pPr>
              <w:pStyle w:val="TableParagraph"/>
              <w:tabs>
                <w:tab w:val="left" w:pos="429"/>
              </w:tabs>
              <w:spacing w:before="38"/>
              <w:ind w:left="69"/>
              <w:rPr>
                <w:color w:val="231F20"/>
                <w:sz w:val="14"/>
              </w:rPr>
            </w:pPr>
            <w:r>
              <w:rPr>
                <w:color w:val="231F20"/>
                <w:sz w:val="14"/>
              </w:rPr>
              <w:t>5.</w:t>
            </w:r>
            <w:r>
              <w:rPr>
                <w:color w:val="231F20"/>
                <w:sz w:val="14"/>
              </w:rPr>
              <w:tab/>
            </w:r>
            <w:proofErr w:type="gramStart"/>
            <w:r>
              <w:rPr>
                <w:color w:val="231F20"/>
                <w:spacing w:val="-8"/>
                <w:sz w:val="14"/>
              </w:rPr>
              <w:t>To</w:t>
            </w:r>
            <w:r w:rsidR="000058BC">
              <w:rPr>
                <w:color w:val="231F20"/>
                <w:spacing w:val="-8"/>
                <w:sz w:val="14"/>
              </w:rPr>
              <w:t xml:space="preserve"> </w:t>
            </w:r>
            <w:r>
              <w:rPr>
                <w:color w:val="231F20"/>
                <w:spacing w:val="-8"/>
                <w:sz w:val="14"/>
              </w:rPr>
              <w:t xml:space="preserve"> </w:t>
            </w:r>
            <w:r w:rsidR="00DF1903">
              <w:rPr>
                <w:color w:val="231F20"/>
                <w:spacing w:val="-8"/>
                <w:sz w:val="14"/>
              </w:rPr>
              <w:t>re</w:t>
            </w:r>
            <w:proofErr w:type="gramEnd"/>
            <w:r w:rsidR="000058BC">
              <w:rPr>
                <w:color w:val="231F20"/>
                <w:spacing w:val="-8"/>
                <w:sz w:val="14"/>
              </w:rPr>
              <w:t>-</w:t>
            </w:r>
            <w:r>
              <w:rPr>
                <w:color w:val="231F20"/>
                <w:sz w:val="14"/>
              </w:rPr>
              <w:t xml:space="preserve">appoint </w:t>
            </w:r>
            <w:r w:rsidR="00C6373E">
              <w:rPr>
                <w:color w:val="231F20"/>
                <w:sz w:val="14"/>
              </w:rPr>
              <w:t>Andrea Williams</w:t>
            </w:r>
            <w:r>
              <w:rPr>
                <w:color w:val="231F20"/>
                <w:sz w:val="14"/>
              </w:rPr>
              <w:t xml:space="preserve"> as a</w:t>
            </w:r>
            <w:r>
              <w:rPr>
                <w:color w:val="231F20"/>
                <w:spacing w:val="-8"/>
                <w:sz w:val="14"/>
              </w:rPr>
              <w:t xml:space="preserve"> </w:t>
            </w:r>
            <w:r>
              <w:rPr>
                <w:color w:val="231F20"/>
                <w:sz w:val="14"/>
              </w:rPr>
              <w:t>Director</w:t>
            </w:r>
          </w:p>
        </w:tc>
        <w:tc>
          <w:tcPr>
            <w:tcW w:w="1418" w:type="dxa"/>
          </w:tcPr>
          <w:p w14:paraId="39D2162A" w14:textId="77777777" w:rsidR="00990BD0" w:rsidRDefault="00990BD0">
            <w:pPr>
              <w:pStyle w:val="TableParagraph"/>
              <w:rPr>
                <w:rFonts w:ascii="Times New Roman"/>
                <w:sz w:val="12"/>
              </w:rPr>
            </w:pPr>
          </w:p>
        </w:tc>
        <w:tc>
          <w:tcPr>
            <w:tcW w:w="1092" w:type="dxa"/>
          </w:tcPr>
          <w:p w14:paraId="4BA9153C" w14:textId="77777777" w:rsidR="00990BD0" w:rsidRDefault="00990BD0">
            <w:pPr>
              <w:pStyle w:val="TableParagraph"/>
              <w:rPr>
                <w:rFonts w:ascii="Times New Roman"/>
                <w:sz w:val="12"/>
              </w:rPr>
            </w:pPr>
          </w:p>
        </w:tc>
        <w:tc>
          <w:tcPr>
            <w:tcW w:w="1885" w:type="dxa"/>
          </w:tcPr>
          <w:p w14:paraId="30A07FAE" w14:textId="77777777" w:rsidR="00990BD0" w:rsidRDefault="00990BD0">
            <w:pPr>
              <w:pStyle w:val="TableParagraph"/>
              <w:rPr>
                <w:rFonts w:ascii="Times New Roman"/>
                <w:sz w:val="12"/>
              </w:rPr>
            </w:pPr>
          </w:p>
        </w:tc>
      </w:tr>
      <w:tr w:rsidR="002E6CF0" w14:paraId="2718AD98" w14:textId="77777777" w:rsidTr="00C42D63">
        <w:trPr>
          <w:trHeight w:val="228"/>
        </w:trPr>
        <w:tc>
          <w:tcPr>
            <w:tcW w:w="6110" w:type="dxa"/>
          </w:tcPr>
          <w:p w14:paraId="6BF2AC60" w14:textId="58D132C8" w:rsidR="002E6CF0" w:rsidRDefault="00396105" w:rsidP="002E6CF0">
            <w:pPr>
              <w:pStyle w:val="TableParagraph"/>
              <w:tabs>
                <w:tab w:val="left" w:pos="429"/>
              </w:tabs>
              <w:spacing w:before="38"/>
              <w:ind w:left="69"/>
              <w:rPr>
                <w:color w:val="231F20"/>
                <w:sz w:val="14"/>
              </w:rPr>
            </w:pPr>
            <w:r>
              <w:rPr>
                <w:color w:val="231F20"/>
                <w:sz w:val="14"/>
              </w:rPr>
              <w:t xml:space="preserve">6.      To </w:t>
            </w:r>
            <w:r w:rsidR="00DF1903">
              <w:rPr>
                <w:color w:val="231F20"/>
                <w:sz w:val="14"/>
              </w:rPr>
              <w:t>re</w:t>
            </w:r>
            <w:r w:rsidR="000058BC">
              <w:rPr>
                <w:color w:val="231F20"/>
                <w:sz w:val="14"/>
              </w:rPr>
              <w:t>-</w:t>
            </w:r>
            <w:r w:rsidR="002E6CF0">
              <w:rPr>
                <w:color w:val="231F20"/>
                <w:sz w:val="14"/>
              </w:rPr>
              <w:t>appoint Michael Clelland as a Director</w:t>
            </w:r>
          </w:p>
        </w:tc>
        <w:tc>
          <w:tcPr>
            <w:tcW w:w="1418" w:type="dxa"/>
          </w:tcPr>
          <w:p w14:paraId="57CBDA35" w14:textId="77777777" w:rsidR="002E6CF0" w:rsidRDefault="002E6CF0">
            <w:pPr>
              <w:pStyle w:val="TableParagraph"/>
              <w:rPr>
                <w:rFonts w:ascii="Times New Roman"/>
                <w:sz w:val="12"/>
              </w:rPr>
            </w:pPr>
          </w:p>
        </w:tc>
        <w:tc>
          <w:tcPr>
            <w:tcW w:w="1092" w:type="dxa"/>
          </w:tcPr>
          <w:p w14:paraId="427EFC7E" w14:textId="77777777" w:rsidR="002E6CF0" w:rsidRDefault="002E6CF0">
            <w:pPr>
              <w:pStyle w:val="TableParagraph"/>
              <w:rPr>
                <w:rFonts w:ascii="Times New Roman"/>
                <w:sz w:val="12"/>
              </w:rPr>
            </w:pPr>
          </w:p>
        </w:tc>
        <w:tc>
          <w:tcPr>
            <w:tcW w:w="1885" w:type="dxa"/>
          </w:tcPr>
          <w:p w14:paraId="1CA9546D" w14:textId="77777777" w:rsidR="002E6CF0" w:rsidRDefault="002E6CF0">
            <w:pPr>
              <w:pStyle w:val="TableParagraph"/>
              <w:rPr>
                <w:rFonts w:ascii="Times New Roman"/>
                <w:sz w:val="12"/>
              </w:rPr>
            </w:pPr>
          </w:p>
        </w:tc>
      </w:tr>
      <w:tr w:rsidR="008330E4" w14:paraId="3B7C6D10" w14:textId="77777777" w:rsidTr="00C42D63">
        <w:trPr>
          <w:trHeight w:val="228"/>
        </w:trPr>
        <w:tc>
          <w:tcPr>
            <w:tcW w:w="6110" w:type="dxa"/>
          </w:tcPr>
          <w:p w14:paraId="7C720F93" w14:textId="6C961260" w:rsidR="008330E4" w:rsidRDefault="008330E4" w:rsidP="002E6CF0">
            <w:pPr>
              <w:pStyle w:val="TableParagraph"/>
              <w:tabs>
                <w:tab w:val="left" w:pos="429"/>
              </w:tabs>
              <w:spacing w:before="38"/>
              <w:ind w:left="69"/>
              <w:rPr>
                <w:color w:val="231F20"/>
                <w:sz w:val="14"/>
              </w:rPr>
            </w:pPr>
            <w:r>
              <w:rPr>
                <w:color w:val="231F20"/>
                <w:sz w:val="14"/>
              </w:rPr>
              <w:t xml:space="preserve">7.      To </w:t>
            </w:r>
            <w:r w:rsidR="00C42D63">
              <w:rPr>
                <w:color w:val="231F20"/>
                <w:sz w:val="14"/>
              </w:rPr>
              <w:t>appoint</w:t>
            </w:r>
            <w:r>
              <w:rPr>
                <w:color w:val="231F20"/>
                <w:sz w:val="14"/>
              </w:rPr>
              <w:t xml:space="preserve"> </w:t>
            </w:r>
            <w:r w:rsidR="00C42D63">
              <w:rPr>
                <w:color w:val="231F20"/>
                <w:sz w:val="14"/>
              </w:rPr>
              <w:t>Patrick Meehan</w:t>
            </w:r>
            <w:r>
              <w:rPr>
                <w:color w:val="231F20"/>
                <w:sz w:val="14"/>
              </w:rPr>
              <w:t xml:space="preserve"> as a Director  </w:t>
            </w:r>
          </w:p>
        </w:tc>
        <w:tc>
          <w:tcPr>
            <w:tcW w:w="1418" w:type="dxa"/>
          </w:tcPr>
          <w:p w14:paraId="3ECC7E80" w14:textId="77777777" w:rsidR="008330E4" w:rsidRDefault="008330E4">
            <w:pPr>
              <w:pStyle w:val="TableParagraph"/>
              <w:rPr>
                <w:rFonts w:ascii="Times New Roman"/>
                <w:sz w:val="12"/>
              </w:rPr>
            </w:pPr>
          </w:p>
        </w:tc>
        <w:tc>
          <w:tcPr>
            <w:tcW w:w="1092" w:type="dxa"/>
          </w:tcPr>
          <w:p w14:paraId="461DD755" w14:textId="77777777" w:rsidR="008330E4" w:rsidRDefault="008330E4">
            <w:pPr>
              <w:pStyle w:val="TableParagraph"/>
              <w:rPr>
                <w:rFonts w:ascii="Times New Roman"/>
                <w:sz w:val="12"/>
              </w:rPr>
            </w:pPr>
          </w:p>
        </w:tc>
        <w:tc>
          <w:tcPr>
            <w:tcW w:w="1885" w:type="dxa"/>
          </w:tcPr>
          <w:p w14:paraId="01DAA1C3" w14:textId="77777777" w:rsidR="008330E4" w:rsidRDefault="008330E4">
            <w:pPr>
              <w:pStyle w:val="TableParagraph"/>
              <w:rPr>
                <w:rFonts w:ascii="Times New Roman"/>
                <w:sz w:val="12"/>
              </w:rPr>
            </w:pPr>
          </w:p>
        </w:tc>
      </w:tr>
      <w:tr w:rsidR="00C42D63" w14:paraId="6B8FE73E" w14:textId="77777777" w:rsidTr="00C42D63">
        <w:trPr>
          <w:trHeight w:val="305"/>
        </w:trPr>
        <w:tc>
          <w:tcPr>
            <w:tcW w:w="6110" w:type="dxa"/>
          </w:tcPr>
          <w:p w14:paraId="6FB2AAC6" w14:textId="7ACB23F2" w:rsidR="00C42D63" w:rsidRDefault="00C42D63">
            <w:pPr>
              <w:pStyle w:val="TableParagraph"/>
              <w:tabs>
                <w:tab w:val="left" w:pos="429"/>
              </w:tabs>
              <w:spacing w:before="38" w:line="249" w:lineRule="auto"/>
              <w:ind w:left="429" w:right="362" w:hanging="360"/>
              <w:rPr>
                <w:color w:val="231F20"/>
                <w:sz w:val="14"/>
              </w:rPr>
            </w:pPr>
            <w:r>
              <w:rPr>
                <w:color w:val="231F20"/>
                <w:sz w:val="14"/>
              </w:rPr>
              <w:t>8.      To appoint Rob Thesiger as a Director</w:t>
            </w:r>
          </w:p>
        </w:tc>
        <w:tc>
          <w:tcPr>
            <w:tcW w:w="1418" w:type="dxa"/>
          </w:tcPr>
          <w:p w14:paraId="344E68AA" w14:textId="77777777" w:rsidR="00C42D63" w:rsidRDefault="00C42D63">
            <w:pPr>
              <w:pStyle w:val="TableParagraph"/>
              <w:rPr>
                <w:rFonts w:ascii="Times New Roman"/>
                <w:sz w:val="12"/>
              </w:rPr>
            </w:pPr>
          </w:p>
        </w:tc>
        <w:tc>
          <w:tcPr>
            <w:tcW w:w="1092" w:type="dxa"/>
          </w:tcPr>
          <w:p w14:paraId="3F12099D" w14:textId="77777777" w:rsidR="00C42D63" w:rsidRDefault="00C42D63">
            <w:pPr>
              <w:pStyle w:val="TableParagraph"/>
              <w:rPr>
                <w:rFonts w:ascii="Times New Roman"/>
                <w:sz w:val="12"/>
              </w:rPr>
            </w:pPr>
          </w:p>
        </w:tc>
        <w:tc>
          <w:tcPr>
            <w:tcW w:w="1885" w:type="dxa"/>
          </w:tcPr>
          <w:p w14:paraId="3207AD4B" w14:textId="77777777" w:rsidR="00C42D63" w:rsidRDefault="00C42D63">
            <w:pPr>
              <w:pStyle w:val="TableParagraph"/>
              <w:rPr>
                <w:rFonts w:ascii="Times New Roman"/>
                <w:sz w:val="12"/>
              </w:rPr>
            </w:pPr>
          </w:p>
        </w:tc>
      </w:tr>
      <w:tr w:rsidR="00990BD0" w14:paraId="0FD3AE8F" w14:textId="77777777" w:rsidTr="00C42D63">
        <w:trPr>
          <w:trHeight w:val="305"/>
        </w:trPr>
        <w:tc>
          <w:tcPr>
            <w:tcW w:w="6110" w:type="dxa"/>
          </w:tcPr>
          <w:p w14:paraId="2B5B7D94" w14:textId="46382B76" w:rsidR="00990BD0" w:rsidRDefault="00C42D63">
            <w:pPr>
              <w:pStyle w:val="TableParagraph"/>
              <w:tabs>
                <w:tab w:val="left" w:pos="429"/>
              </w:tabs>
              <w:spacing w:before="38" w:line="249" w:lineRule="auto"/>
              <w:ind w:left="429" w:right="362" w:hanging="360"/>
              <w:rPr>
                <w:sz w:val="14"/>
              </w:rPr>
            </w:pPr>
            <w:r>
              <w:rPr>
                <w:color w:val="231F20"/>
                <w:sz w:val="14"/>
              </w:rPr>
              <w:t>9</w:t>
            </w:r>
            <w:r w:rsidR="0041006E">
              <w:rPr>
                <w:color w:val="231F20"/>
                <w:sz w:val="14"/>
              </w:rPr>
              <w:t>.</w:t>
            </w:r>
            <w:r w:rsidR="0041006E">
              <w:rPr>
                <w:color w:val="231F20"/>
                <w:sz w:val="14"/>
              </w:rPr>
              <w:tab/>
            </w:r>
            <w:r w:rsidR="0041006E">
              <w:rPr>
                <w:color w:val="231F20"/>
                <w:spacing w:val="-8"/>
                <w:sz w:val="14"/>
              </w:rPr>
              <w:t xml:space="preserve">To </w:t>
            </w:r>
            <w:proofErr w:type="spellStart"/>
            <w:r w:rsidR="0041006E">
              <w:rPr>
                <w:color w:val="231F20"/>
                <w:sz w:val="14"/>
              </w:rPr>
              <w:t>authorise</w:t>
            </w:r>
            <w:proofErr w:type="spellEnd"/>
            <w:r w:rsidR="0041006E">
              <w:rPr>
                <w:color w:val="231F20"/>
                <w:sz w:val="14"/>
              </w:rPr>
              <w:t xml:space="preserve"> the Directors to allot shares and to grant rights to subscribe for</w:t>
            </w:r>
            <w:r w:rsidR="0041006E">
              <w:rPr>
                <w:color w:val="231F20"/>
                <w:spacing w:val="2"/>
                <w:sz w:val="14"/>
              </w:rPr>
              <w:t xml:space="preserve"> </w:t>
            </w:r>
            <w:r w:rsidR="0041006E">
              <w:rPr>
                <w:color w:val="231F20"/>
                <w:sz w:val="14"/>
              </w:rPr>
              <w:t>or</w:t>
            </w:r>
            <w:r w:rsidR="0041006E">
              <w:rPr>
                <w:color w:val="231F20"/>
                <w:spacing w:val="3"/>
                <w:sz w:val="14"/>
              </w:rPr>
              <w:t xml:space="preserve"> </w:t>
            </w:r>
            <w:r w:rsidR="0041006E">
              <w:rPr>
                <w:color w:val="231F20"/>
                <w:sz w:val="14"/>
              </w:rPr>
              <w:t>to</w:t>
            </w:r>
            <w:r w:rsidR="0041006E">
              <w:rPr>
                <w:color w:val="231F20"/>
                <w:w w:val="106"/>
                <w:sz w:val="14"/>
              </w:rPr>
              <w:t xml:space="preserve"> </w:t>
            </w:r>
            <w:r w:rsidR="0041006E">
              <w:rPr>
                <w:color w:val="231F20"/>
                <w:sz w:val="14"/>
              </w:rPr>
              <w:t>convert</w:t>
            </w:r>
            <w:r w:rsidR="0041006E">
              <w:rPr>
                <w:color w:val="231F20"/>
                <w:spacing w:val="3"/>
                <w:sz w:val="14"/>
              </w:rPr>
              <w:t xml:space="preserve"> </w:t>
            </w:r>
            <w:r w:rsidR="0041006E">
              <w:rPr>
                <w:color w:val="231F20"/>
                <w:sz w:val="14"/>
              </w:rPr>
              <w:t>any</w:t>
            </w:r>
            <w:r w:rsidR="0041006E">
              <w:rPr>
                <w:color w:val="231F20"/>
                <w:spacing w:val="3"/>
                <w:sz w:val="14"/>
              </w:rPr>
              <w:t xml:space="preserve"> </w:t>
            </w:r>
            <w:r w:rsidR="0041006E">
              <w:rPr>
                <w:color w:val="231F20"/>
                <w:sz w:val="14"/>
              </w:rPr>
              <w:t>security</w:t>
            </w:r>
            <w:r w:rsidR="0041006E">
              <w:rPr>
                <w:color w:val="231F20"/>
                <w:spacing w:val="3"/>
                <w:sz w:val="14"/>
              </w:rPr>
              <w:t xml:space="preserve"> </w:t>
            </w:r>
            <w:r w:rsidR="0041006E">
              <w:rPr>
                <w:color w:val="231F20"/>
                <w:sz w:val="14"/>
              </w:rPr>
              <w:t>into</w:t>
            </w:r>
            <w:r w:rsidR="0041006E">
              <w:rPr>
                <w:color w:val="231F20"/>
                <w:spacing w:val="3"/>
                <w:sz w:val="14"/>
              </w:rPr>
              <w:t xml:space="preserve"> </w:t>
            </w:r>
            <w:r w:rsidR="0041006E">
              <w:rPr>
                <w:color w:val="231F20"/>
                <w:sz w:val="14"/>
              </w:rPr>
              <w:t>shares</w:t>
            </w:r>
            <w:r w:rsidR="0041006E">
              <w:rPr>
                <w:color w:val="231F20"/>
                <w:spacing w:val="3"/>
                <w:sz w:val="14"/>
              </w:rPr>
              <w:t xml:space="preserve"> </w:t>
            </w:r>
            <w:r w:rsidR="0041006E">
              <w:rPr>
                <w:color w:val="231F20"/>
                <w:sz w:val="14"/>
              </w:rPr>
              <w:t>pursuant</w:t>
            </w:r>
            <w:r w:rsidR="0041006E">
              <w:rPr>
                <w:color w:val="231F20"/>
                <w:spacing w:val="3"/>
                <w:sz w:val="14"/>
              </w:rPr>
              <w:t xml:space="preserve"> </w:t>
            </w:r>
            <w:r w:rsidR="0041006E">
              <w:rPr>
                <w:color w:val="231F20"/>
                <w:sz w:val="14"/>
              </w:rPr>
              <w:t>to</w:t>
            </w:r>
            <w:r w:rsidR="0041006E">
              <w:rPr>
                <w:color w:val="231F20"/>
                <w:spacing w:val="3"/>
                <w:sz w:val="14"/>
              </w:rPr>
              <w:t xml:space="preserve"> </w:t>
            </w:r>
            <w:r w:rsidR="0041006E">
              <w:rPr>
                <w:color w:val="231F20"/>
                <w:sz w:val="14"/>
              </w:rPr>
              <w:t>section</w:t>
            </w:r>
            <w:r w:rsidR="0041006E">
              <w:rPr>
                <w:color w:val="231F20"/>
                <w:spacing w:val="3"/>
                <w:sz w:val="14"/>
              </w:rPr>
              <w:t xml:space="preserve"> </w:t>
            </w:r>
            <w:r w:rsidR="0041006E">
              <w:rPr>
                <w:color w:val="231F20"/>
                <w:sz w:val="14"/>
              </w:rPr>
              <w:t>551</w:t>
            </w:r>
            <w:r w:rsidR="0041006E">
              <w:rPr>
                <w:color w:val="231F20"/>
                <w:spacing w:val="3"/>
                <w:sz w:val="14"/>
              </w:rPr>
              <w:t xml:space="preserve"> </w:t>
            </w:r>
            <w:r w:rsidR="0041006E">
              <w:rPr>
                <w:color w:val="231F20"/>
                <w:sz w:val="14"/>
              </w:rPr>
              <w:t>of</w:t>
            </w:r>
            <w:r w:rsidR="0041006E">
              <w:rPr>
                <w:color w:val="231F20"/>
                <w:spacing w:val="3"/>
                <w:sz w:val="14"/>
              </w:rPr>
              <w:t xml:space="preserve"> </w:t>
            </w:r>
            <w:r w:rsidR="0041006E">
              <w:rPr>
                <w:color w:val="231F20"/>
                <w:sz w:val="14"/>
              </w:rPr>
              <w:t>the</w:t>
            </w:r>
            <w:r w:rsidR="0041006E">
              <w:rPr>
                <w:color w:val="231F20"/>
                <w:spacing w:val="3"/>
                <w:sz w:val="14"/>
              </w:rPr>
              <w:t xml:space="preserve"> </w:t>
            </w:r>
            <w:r w:rsidR="0041006E">
              <w:rPr>
                <w:color w:val="231F20"/>
                <w:sz w:val="14"/>
              </w:rPr>
              <w:t>Companies</w:t>
            </w:r>
            <w:r w:rsidR="0041006E">
              <w:rPr>
                <w:color w:val="231F20"/>
                <w:spacing w:val="3"/>
                <w:sz w:val="14"/>
              </w:rPr>
              <w:t xml:space="preserve"> </w:t>
            </w:r>
            <w:r w:rsidR="0041006E">
              <w:rPr>
                <w:color w:val="231F20"/>
                <w:sz w:val="14"/>
              </w:rPr>
              <w:t>Act</w:t>
            </w:r>
            <w:r w:rsidR="0041006E">
              <w:rPr>
                <w:color w:val="231F20"/>
                <w:spacing w:val="3"/>
                <w:sz w:val="14"/>
              </w:rPr>
              <w:t xml:space="preserve"> </w:t>
            </w:r>
            <w:r w:rsidR="0041006E">
              <w:rPr>
                <w:color w:val="231F20"/>
                <w:sz w:val="14"/>
              </w:rPr>
              <w:t>2006</w:t>
            </w:r>
          </w:p>
        </w:tc>
        <w:tc>
          <w:tcPr>
            <w:tcW w:w="1418" w:type="dxa"/>
          </w:tcPr>
          <w:p w14:paraId="6FED61D7" w14:textId="77777777" w:rsidR="00990BD0" w:rsidRDefault="00990BD0">
            <w:pPr>
              <w:pStyle w:val="TableParagraph"/>
              <w:rPr>
                <w:rFonts w:ascii="Times New Roman"/>
                <w:sz w:val="12"/>
              </w:rPr>
            </w:pPr>
          </w:p>
        </w:tc>
        <w:tc>
          <w:tcPr>
            <w:tcW w:w="1092" w:type="dxa"/>
          </w:tcPr>
          <w:p w14:paraId="00CF7576" w14:textId="77777777" w:rsidR="00990BD0" w:rsidRDefault="00990BD0">
            <w:pPr>
              <w:pStyle w:val="TableParagraph"/>
              <w:rPr>
                <w:rFonts w:ascii="Times New Roman"/>
                <w:sz w:val="12"/>
              </w:rPr>
            </w:pPr>
          </w:p>
        </w:tc>
        <w:tc>
          <w:tcPr>
            <w:tcW w:w="1885" w:type="dxa"/>
          </w:tcPr>
          <w:p w14:paraId="31D9E930" w14:textId="77777777" w:rsidR="00990BD0" w:rsidRDefault="00990BD0">
            <w:pPr>
              <w:pStyle w:val="TableParagraph"/>
              <w:rPr>
                <w:rFonts w:ascii="Times New Roman"/>
                <w:sz w:val="12"/>
              </w:rPr>
            </w:pPr>
          </w:p>
        </w:tc>
      </w:tr>
      <w:tr w:rsidR="00990BD0" w14:paraId="122A3629" w14:textId="77777777" w:rsidTr="00C42D63">
        <w:trPr>
          <w:trHeight w:val="305"/>
        </w:trPr>
        <w:tc>
          <w:tcPr>
            <w:tcW w:w="6110" w:type="dxa"/>
          </w:tcPr>
          <w:p w14:paraId="46DC53F1" w14:textId="4816325B" w:rsidR="00990BD0" w:rsidRDefault="00C42D63">
            <w:pPr>
              <w:pStyle w:val="TableParagraph"/>
              <w:tabs>
                <w:tab w:val="left" w:pos="429"/>
              </w:tabs>
              <w:spacing w:before="38" w:line="249" w:lineRule="auto"/>
              <w:ind w:left="429" w:right="575" w:hanging="360"/>
              <w:rPr>
                <w:sz w:val="14"/>
              </w:rPr>
            </w:pPr>
            <w:r>
              <w:rPr>
                <w:color w:val="231F20"/>
                <w:sz w:val="14"/>
              </w:rPr>
              <w:t>10</w:t>
            </w:r>
            <w:r w:rsidR="0041006E">
              <w:rPr>
                <w:color w:val="231F20"/>
                <w:sz w:val="14"/>
              </w:rPr>
              <w:t>.</w:t>
            </w:r>
            <w:r w:rsidR="0041006E">
              <w:rPr>
                <w:color w:val="231F20"/>
                <w:sz w:val="14"/>
              </w:rPr>
              <w:tab/>
            </w:r>
            <w:proofErr w:type="gramStart"/>
            <w:r w:rsidR="0041006E">
              <w:rPr>
                <w:color w:val="231F20"/>
                <w:spacing w:val="-8"/>
                <w:sz w:val="14"/>
              </w:rPr>
              <w:t xml:space="preserve">To  </w:t>
            </w:r>
            <w:proofErr w:type="spellStart"/>
            <w:r w:rsidR="0041006E">
              <w:rPr>
                <w:color w:val="231F20"/>
                <w:sz w:val="14"/>
              </w:rPr>
              <w:t>authorise</w:t>
            </w:r>
            <w:proofErr w:type="spellEnd"/>
            <w:proofErr w:type="gramEnd"/>
            <w:r w:rsidR="0041006E">
              <w:rPr>
                <w:color w:val="231F20"/>
                <w:sz w:val="14"/>
              </w:rPr>
              <w:t xml:space="preserve"> the Directors to allot equity securities pursuant to section 570</w:t>
            </w:r>
            <w:r w:rsidR="0041006E">
              <w:rPr>
                <w:color w:val="231F20"/>
                <w:spacing w:val="36"/>
                <w:sz w:val="14"/>
              </w:rPr>
              <w:t xml:space="preserve"> </w:t>
            </w:r>
            <w:r w:rsidR="0041006E">
              <w:rPr>
                <w:color w:val="231F20"/>
                <w:sz w:val="14"/>
              </w:rPr>
              <w:t>of</w:t>
            </w:r>
            <w:r w:rsidR="0041006E">
              <w:rPr>
                <w:color w:val="231F20"/>
                <w:spacing w:val="2"/>
                <w:sz w:val="14"/>
              </w:rPr>
              <w:t xml:space="preserve"> </w:t>
            </w:r>
            <w:r w:rsidR="0041006E">
              <w:rPr>
                <w:color w:val="231F20"/>
                <w:sz w:val="14"/>
              </w:rPr>
              <w:t>the</w:t>
            </w:r>
            <w:r w:rsidR="0041006E">
              <w:rPr>
                <w:color w:val="231F20"/>
                <w:w w:val="101"/>
                <w:sz w:val="14"/>
              </w:rPr>
              <w:t xml:space="preserve"> </w:t>
            </w:r>
            <w:r w:rsidR="0041006E">
              <w:rPr>
                <w:color w:val="231F20"/>
                <w:sz w:val="14"/>
              </w:rPr>
              <w:t>Companies Act</w:t>
            </w:r>
            <w:r w:rsidR="0041006E">
              <w:rPr>
                <w:color w:val="231F20"/>
                <w:spacing w:val="11"/>
                <w:sz w:val="14"/>
              </w:rPr>
              <w:t xml:space="preserve"> </w:t>
            </w:r>
            <w:r w:rsidR="0041006E">
              <w:rPr>
                <w:color w:val="231F20"/>
                <w:sz w:val="14"/>
              </w:rPr>
              <w:t>2006</w:t>
            </w:r>
          </w:p>
        </w:tc>
        <w:tc>
          <w:tcPr>
            <w:tcW w:w="1418" w:type="dxa"/>
          </w:tcPr>
          <w:p w14:paraId="0D8D1849" w14:textId="77777777" w:rsidR="00990BD0" w:rsidRDefault="00990BD0">
            <w:pPr>
              <w:pStyle w:val="TableParagraph"/>
              <w:rPr>
                <w:rFonts w:ascii="Times New Roman"/>
                <w:sz w:val="12"/>
              </w:rPr>
            </w:pPr>
          </w:p>
        </w:tc>
        <w:tc>
          <w:tcPr>
            <w:tcW w:w="1092" w:type="dxa"/>
          </w:tcPr>
          <w:p w14:paraId="78E96E80" w14:textId="77777777" w:rsidR="00990BD0" w:rsidRDefault="00990BD0">
            <w:pPr>
              <w:pStyle w:val="TableParagraph"/>
              <w:rPr>
                <w:rFonts w:ascii="Times New Roman"/>
                <w:sz w:val="12"/>
              </w:rPr>
            </w:pPr>
          </w:p>
        </w:tc>
        <w:tc>
          <w:tcPr>
            <w:tcW w:w="1885" w:type="dxa"/>
          </w:tcPr>
          <w:p w14:paraId="2E41175E" w14:textId="77777777" w:rsidR="00990BD0" w:rsidRDefault="00990BD0">
            <w:pPr>
              <w:pStyle w:val="TableParagraph"/>
              <w:rPr>
                <w:rFonts w:ascii="Times New Roman"/>
                <w:sz w:val="12"/>
              </w:rPr>
            </w:pPr>
          </w:p>
        </w:tc>
      </w:tr>
    </w:tbl>
    <w:p w14:paraId="295CFA1C" w14:textId="77777777" w:rsidR="00990BD0" w:rsidRDefault="00990BD0">
      <w:pPr>
        <w:pStyle w:val="BodyText"/>
        <w:spacing w:before="9"/>
        <w:rPr>
          <w:sz w:val="12"/>
        </w:rPr>
      </w:pPr>
    </w:p>
    <w:p w14:paraId="6EF3C61B" w14:textId="77777777" w:rsidR="00990BD0" w:rsidRDefault="00990BD0">
      <w:pPr>
        <w:rPr>
          <w:sz w:val="12"/>
        </w:rPr>
        <w:sectPr w:rsidR="00990BD0">
          <w:type w:val="continuous"/>
          <w:pgSz w:w="11910" w:h="16840"/>
          <w:pgMar w:top="580" w:right="620" w:bottom="280" w:left="620" w:header="720" w:footer="720" w:gutter="0"/>
          <w:cols w:space="720"/>
        </w:sectPr>
      </w:pPr>
    </w:p>
    <w:p w14:paraId="1903F405" w14:textId="77777777" w:rsidR="00990BD0" w:rsidRDefault="0041006E">
      <w:pPr>
        <w:spacing w:before="103"/>
        <w:ind w:left="117"/>
        <w:rPr>
          <w:sz w:val="16"/>
        </w:rPr>
      </w:pPr>
      <w:r>
        <w:rPr>
          <w:color w:val="231F20"/>
          <w:sz w:val="16"/>
        </w:rPr>
        <w:t>Name(s)</w:t>
      </w:r>
    </w:p>
    <w:p w14:paraId="47B5212F" w14:textId="77777777" w:rsidR="00990BD0" w:rsidRDefault="0041006E">
      <w:pPr>
        <w:spacing w:before="8"/>
        <w:ind w:left="117"/>
        <w:rPr>
          <w:sz w:val="16"/>
        </w:rPr>
      </w:pPr>
      <w:r>
        <w:rPr>
          <w:color w:val="231F20"/>
          <w:sz w:val="16"/>
        </w:rPr>
        <w:t>.................................................................................................................................................................</w:t>
      </w:r>
    </w:p>
    <w:p w14:paraId="0AC6D8DA" w14:textId="77777777" w:rsidR="00990BD0" w:rsidRDefault="0041006E">
      <w:pPr>
        <w:spacing w:before="8"/>
        <w:ind w:left="117"/>
        <w:rPr>
          <w:b/>
          <w:sz w:val="16"/>
        </w:rPr>
      </w:pPr>
      <w:r>
        <w:rPr>
          <w:b/>
          <w:color w:val="231F20"/>
          <w:sz w:val="16"/>
        </w:rPr>
        <w:t>(Block Letters)</w:t>
      </w:r>
    </w:p>
    <w:p w14:paraId="0979CF55" w14:textId="77777777" w:rsidR="00990BD0" w:rsidRDefault="0041006E">
      <w:pPr>
        <w:spacing w:before="8"/>
        <w:ind w:left="117"/>
        <w:rPr>
          <w:sz w:val="16"/>
        </w:rPr>
      </w:pPr>
      <w:r>
        <w:rPr>
          <w:color w:val="231F20"/>
          <w:spacing w:val="-1"/>
          <w:sz w:val="16"/>
        </w:rPr>
        <w:t>Address(es)..............................................................................................................................................</w:t>
      </w:r>
    </w:p>
    <w:p w14:paraId="2113A2D5" w14:textId="77777777" w:rsidR="00990BD0" w:rsidRDefault="00990BD0">
      <w:pPr>
        <w:pStyle w:val="BodyText"/>
        <w:spacing w:before="4"/>
        <w:rPr>
          <w:sz w:val="17"/>
        </w:rPr>
      </w:pPr>
    </w:p>
    <w:p w14:paraId="095A8CA4" w14:textId="77777777" w:rsidR="00990BD0" w:rsidRDefault="0041006E">
      <w:pPr>
        <w:ind w:left="117"/>
        <w:rPr>
          <w:sz w:val="16"/>
        </w:rPr>
      </w:pPr>
      <w:r>
        <w:rPr>
          <w:color w:val="231F20"/>
          <w:sz w:val="16"/>
        </w:rPr>
        <w:t>.................................................................................................................................................................</w:t>
      </w:r>
    </w:p>
    <w:p w14:paraId="71D21916" w14:textId="77777777" w:rsidR="00990BD0" w:rsidRDefault="0041006E">
      <w:pPr>
        <w:spacing w:before="7"/>
        <w:ind w:left="117"/>
        <w:rPr>
          <w:b/>
          <w:sz w:val="16"/>
        </w:rPr>
      </w:pPr>
      <w:r>
        <w:rPr>
          <w:b/>
          <w:color w:val="231F20"/>
          <w:sz w:val="16"/>
        </w:rPr>
        <w:t>(Block Letters)</w:t>
      </w:r>
    </w:p>
    <w:p w14:paraId="241952F6" w14:textId="77777777" w:rsidR="00990BD0" w:rsidRDefault="00990BD0">
      <w:pPr>
        <w:pStyle w:val="BodyText"/>
        <w:spacing w:before="3"/>
        <w:rPr>
          <w:b/>
          <w:sz w:val="17"/>
        </w:rPr>
      </w:pPr>
    </w:p>
    <w:p w14:paraId="7A90657B" w14:textId="77777777" w:rsidR="00990BD0" w:rsidRDefault="0041006E">
      <w:pPr>
        <w:spacing w:before="1"/>
        <w:ind w:left="117"/>
        <w:rPr>
          <w:sz w:val="16"/>
        </w:rPr>
      </w:pPr>
      <w:r>
        <w:rPr>
          <w:color w:val="231F20"/>
          <w:sz w:val="16"/>
        </w:rPr>
        <w:t>Dated</w:t>
      </w:r>
      <w:r>
        <w:rPr>
          <w:color w:val="231F20"/>
          <w:spacing w:val="-24"/>
          <w:sz w:val="16"/>
        </w:rPr>
        <w:t xml:space="preserve"> </w:t>
      </w:r>
      <w:r>
        <w:rPr>
          <w:color w:val="231F20"/>
          <w:sz w:val="16"/>
        </w:rPr>
        <w:t>.......................................................................................................................................................</w:t>
      </w:r>
    </w:p>
    <w:p w14:paraId="10920FC8" w14:textId="77777777" w:rsidR="00990BD0" w:rsidRDefault="00990BD0">
      <w:pPr>
        <w:pStyle w:val="BodyText"/>
        <w:spacing w:before="4"/>
        <w:rPr>
          <w:sz w:val="17"/>
        </w:rPr>
      </w:pPr>
    </w:p>
    <w:p w14:paraId="4E7414F1" w14:textId="77777777" w:rsidR="00990BD0" w:rsidRDefault="0041006E">
      <w:pPr>
        <w:ind w:left="117"/>
        <w:rPr>
          <w:sz w:val="16"/>
        </w:rPr>
      </w:pPr>
      <w:r>
        <w:rPr>
          <w:color w:val="231F20"/>
          <w:spacing w:val="-1"/>
          <w:sz w:val="16"/>
        </w:rPr>
        <w:t>Signature(s)..............................................................................................................................................</w:t>
      </w:r>
    </w:p>
    <w:p w14:paraId="56543E9C" w14:textId="77777777" w:rsidR="00990BD0" w:rsidRDefault="00990BD0">
      <w:pPr>
        <w:pStyle w:val="BodyText"/>
        <w:spacing w:before="3"/>
        <w:rPr>
          <w:sz w:val="17"/>
        </w:rPr>
      </w:pPr>
    </w:p>
    <w:p w14:paraId="78F2D770" w14:textId="77777777" w:rsidR="00990BD0" w:rsidRDefault="0041006E">
      <w:pPr>
        <w:spacing w:before="1"/>
        <w:ind w:left="117"/>
        <w:rPr>
          <w:sz w:val="16"/>
        </w:rPr>
      </w:pPr>
      <w:r>
        <w:rPr>
          <w:color w:val="231F20"/>
          <w:sz w:val="16"/>
        </w:rPr>
        <w:t>or Common Seal .....................................................................................................................................</w:t>
      </w:r>
    </w:p>
    <w:p w14:paraId="173FCBB1" w14:textId="77777777" w:rsidR="00990BD0" w:rsidRDefault="00990BD0">
      <w:pPr>
        <w:pStyle w:val="BodyText"/>
        <w:rPr>
          <w:sz w:val="18"/>
        </w:rPr>
      </w:pPr>
    </w:p>
    <w:p w14:paraId="0575FD47" w14:textId="77777777" w:rsidR="00990BD0" w:rsidRDefault="00990BD0">
      <w:pPr>
        <w:pStyle w:val="BodyText"/>
        <w:spacing w:before="8"/>
        <w:rPr>
          <w:sz w:val="14"/>
        </w:rPr>
      </w:pPr>
    </w:p>
    <w:p w14:paraId="1A823435" w14:textId="77777777" w:rsidR="00990BD0" w:rsidRDefault="0041006E">
      <w:pPr>
        <w:ind w:left="117"/>
        <w:rPr>
          <w:b/>
          <w:sz w:val="10"/>
        </w:rPr>
      </w:pPr>
      <w:r>
        <w:rPr>
          <w:b/>
          <w:color w:val="231F20"/>
          <w:sz w:val="10"/>
        </w:rPr>
        <w:t>Notes:</w:t>
      </w:r>
    </w:p>
    <w:p w14:paraId="10199D90" w14:textId="77777777" w:rsidR="00990BD0" w:rsidRDefault="0041006E">
      <w:pPr>
        <w:pStyle w:val="BodyText"/>
        <w:rPr>
          <w:b/>
          <w:sz w:val="18"/>
        </w:rPr>
      </w:pPr>
      <w:r>
        <w:br w:type="column"/>
      </w:r>
    </w:p>
    <w:p w14:paraId="41BE5BA7" w14:textId="77777777" w:rsidR="00990BD0" w:rsidRDefault="00990BD0">
      <w:pPr>
        <w:pStyle w:val="BodyText"/>
        <w:spacing w:before="8"/>
        <w:rPr>
          <w:b/>
          <w:sz w:val="24"/>
        </w:rPr>
      </w:pPr>
    </w:p>
    <w:p w14:paraId="3ECEF44E" w14:textId="77777777" w:rsidR="00990BD0" w:rsidRDefault="0041006E">
      <w:pPr>
        <w:ind w:left="152"/>
        <w:rPr>
          <w:sz w:val="16"/>
        </w:rPr>
      </w:pPr>
      <w:r>
        <w:rPr>
          <w:color w:val="231F20"/>
          <w:sz w:val="16"/>
        </w:rPr>
        <w:t>Number of share(s)</w:t>
      </w:r>
    </w:p>
    <w:p w14:paraId="247F17A0" w14:textId="77777777" w:rsidR="00990BD0" w:rsidRDefault="0041006E">
      <w:pPr>
        <w:spacing w:before="15"/>
        <w:ind w:left="117"/>
        <w:rPr>
          <w:b/>
          <w:sz w:val="16"/>
        </w:rPr>
      </w:pPr>
      <w:r>
        <w:rPr>
          <w:b/>
          <w:color w:val="231F20"/>
          <w:sz w:val="16"/>
        </w:rPr>
        <w:t>(See Note 2 below)</w:t>
      </w:r>
    </w:p>
    <w:p w14:paraId="3ABA0CF2" w14:textId="77777777" w:rsidR="00990BD0" w:rsidRDefault="00990BD0">
      <w:pPr>
        <w:pStyle w:val="BodyText"/>
        <w:spacing w:before="10"/>
        <w:rPr>
          <w:b/>
        </w:rPr>
      </w:pPr>
    </w:p>
    <w:p w14:paraId="0E8F861F" w14:textId="77777777" w:rsidR="00990BD0" w:rsidRDefault="0041006E">
      <w:pPr>
        <w:pStyle w:val="BodyText"/>
        <w:ind w:left="117"/>
        <w:rPr>
          <w:sz w:val="20"/>
        </w:rPr>
      </w:pPr>
      <w:r>
        <w:rPr>
          <w:noProof/>
          <w:sz w:val="20"/>
          <w:lang w:val="en-GB" w:eastAsia="en-GB"/>
        </w:rPr>
        <mc:AlternateContent>
          <mc:Choice Requires="wpg">
            <w:drawing>
              <wp:inline distT="0" distB="0" distL="0" distR="0" wp14:anchorId="429709D1" wp14:editId="376078B5">
                <wp:extent cx="906780" cy="445770"/>
                <wp:effectExtent l="3175" t="6985" r="4445"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445770"/>
                          <a:chOff x="0" y="0"/>
                          <a:chExt cx="1428" cy="702"/>
                        </a:xfrm>
                      </wpg:grpSpPr>
                      <wps:wsp>
                        <wps:cNvPr id="2" name="Rectangle 3"/>
                        <wps:cNvSpPr>
                          <a:spLocks noChangeArrowheads="1"/>
                        </wps:cNvSpPr>
                        <wps:spPr bwMode="auto">
                          <a:xfrm>
                            <a:off x="5" y="5"/>
                            <a:ext cx="1418" cy="69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936612" id="Group 2" o:spid="_x0000_s1026" style="width:71.4pt;height:35.1pt;mso-position-horizontal-relative:char;mso-position-vertical-relative:line" coordsize="142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PZ7QIAAGIGAAAOAAAAZHJzL2Uyb0RvYy54bWykVclu2zAQvRfoPxC8O1osb0LkILDsoEDa&#10;Bk37AbRESUQpUiVpy2nRf++QlB07ObRIdaCHnOEs7w3H1zeHlqM9VZpJkeHoKsSIikKWTNQZ/vZ1&#10;M5pjpA0RJeFS0Aw/UY1vlu/fXfddSmPZSF5ShcCJ0GnfZbgxpkuDQBcNbYm+kh0VoKykaomBraqD&#10;UpEevLc8iMNwGvRSlZ2SBdUaTnOvxEvnv6poYT5XlaYG8QxDbsatyq1buwbLa5LWinQNK4Y0yBuy&#10;aAkTEPTkKieGoJ1ir1y1rFBSy8pcFbINZFWxgroaoJoofFHNnZK7ztVSp33dnWACaF/g9Ga3xaf9&#10;g0KsBO4wEqQFilxUFFto+q5OweJOdY/dg/L1gXgvi+8a1MFLvd3X3hht+4+yBHdkZ6SD5lCp1rqA&#10;otHBMfB0YoAeDCrgcBFOZ3PgqQBVkkxms4GhogEaX90qmvVwL0piaDR7axa6zAOS+nguxyEnWxC0&#10;mX5GUv8fko8N6agjSFucBiTjI5JfoP2IqDlFY4+mszpCqT2OSMhVA1b0VinZN5SUkFRk7SH1swt2&#10;o4GFvwI7wQhwmPjWPgIbJdEA0HRxCRBJO6XNHZUtskKGFWTtCCP7e21sHs8mlj8hN4xzOCcpF6jP&#10;8HQ8Cd0FLTkrrdLqtKq3K67QnsDTi8fRJnZcgrMLMxszJ7rxdk7lM2+ZgcnAWZvheWg/f2wBWovS&#10;hTeEcS+DVy5sVKgXkh4k/wJ/LcLFer6eJ6Mknq5HSZjno9vNKhlNN9Fsko/z1SqPftsCoiRtWFlS&#10;YWs4ToMo+bceGeaSf8eneXBR6wUkG/c5ni8gCS7TcPBDVcdfV53rDNsMvqO3snyCxlDSjzcYxyA0&#10;Uv3EqIfRlmH9Y0cUxYh/ENBciyhJ7Cx0G3hkQAxS55rtuYaIAlxl2GDkxZXx83PXKVY3ECly5At5&#10;Cy+9Yq5jbLP6rIY2hkfnJDfIXC3D0LWT8nzvrJ7/GpZ/AAAA//8DAFBLAwQUAAYACAAAACEAP+qL&#10;8dwAAAAEAQAADwAAAGRycy9kb3ducmV2LnhtbEyPQWvCQBCF74X+h2UK3uomsbWSZiMibU9SqArF&#10;25gdk2B2NmTXJP77rr20lwfDG977XrYcTSN66lxtWUE8jUAQF1bXXCrY794fFyCcR9bYWCYFV3Kw&#10;zO/vMky1HfiL+q0vRQhhl6KCyvs2ldIVFRl0U9sSB+9kO4M+nF0pdYdDCDeNTKJoLg3WHBoqbGld&#10;UXHeXoyCjwGH1Sx+6zfn0/p62D1/fm9iUmryMK5eQXga/d8z3PADOuSB6WgvrJ1oFIQh/ldv3lMS&#10;ZhwVvEQJyDyT/+HzHwAAAP//AwBQSwECLQAUAAYACAAAACEAtoM4kv4AAADhAQAAEwAAAAAAAAAA&#10;AAAAAAAAAAAAW0NvbnRlbnRfVHlwZXNdLnhtbFBLAQItABQABgAIAAAAIQA4/SH/1gAAAJQBAAAL&#10;AAAAAAAAAAAAAAAAAC8BAABfcmVscy8ucmVsc1BLAQItABQABgAIAAAAIQBvXcPZ7QIAAGIGAAAO&#10;AAAAAAAAAAAAAAAAAC4CAABkcnMvZTJvRG9jLnhtbFBLAQItABQABgAIAAAAIQA/6ovx3AAAAAQB&#10;AAAPAAAAAAAAAAAAAAAAAEcFAABkcnMvZG93bnJldi54bWxQSwUGAAAAAAQABADzAAAAUAYAAAAA&#10;">
                <v:rect id="Rectangle 3" o:spid="_x0000_s1027" style="position:absolute;left:5;top:5;width:1418;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WhNxAAAANoAAAAPAAAAZHJzL2Rvd25yZXYueG1sRI9Ba8JA&#10;FITvBf/D8oTedKO0oaauIoLgoZU2EUpvr9lnEsy+DbtbTf69WxB6HGbmG2a57k0rLuR8Y1nBbJqA&#10;IC6tbrhScCx2kxcQPiBrbC2TgoE8rFejhyVm2l75ky55qESEsM9QQR1Cl0npy5oM+qntiKN3ss5g&#10;iNJVUju8Rrhp5TxJUmmw4bhQY0fbmspz/msU6Ke3wtqP94P/Tk/6eTP8fO0XTqnHcb95BRGoD//h&#10;e3uvFczh70q8AXJ1AwAA//8DAFBLAQItABQABgAIAAAAIQDb4fbL7gAAAIUBAAATAAAAAAAAAAAA&#10;AAAAAAAAAABbQ29udGVudF9UeXBlc10ueG1sUEsBAi0AFAAGAAgAAAAhAFr0LFu/AAAAFQEAAAsA&#10;AAAAAAAAAAAAAAAAHwEAAF9yZWxzLy5yZWxzUEsBAi0AFAAGAAgAAAAhAKSdaE3EAAAA2gAAAA8A&#10;AAAAAAAAAAAAAAAABwIAAGRycy9kb3ducmV2LnhtbFBLBQYAAAAAAwADALcAAAD4AgAAAAA=&#10;" filled="f" strokecolor="#231f20" strokeweight=".5pt"/>
                <w10:anchorlock/>
              </v:group>
            </w:pict>
          </mc:Fallback>
        </mc:AlternateContent>
      </w:r>
    </w:p>
    <w:p w14:paraId="3318FD73" w14:textId="77777777" w:rsidR="00990BD0" w:rsidRDefault="00990BD0">
      <w:pPr>
        <w:rPr>
          <w:sz w:val="20"/>
        </w:rPr>
        <w:sectPr w:rsidR="00990BD0">
          <w:type w:val="continuous"/>
          <w:pgSz w:w="11910" w:h="16840"/>
          <w:pgMar w:top="580" w:right="620" w:bottom="280" w:left="620" w:header="720" w:footer="720" w:gutter="0"/>
          <w:cols w:num="2" w:space="720" w:equalWidth="0">
            <w:col w:w="7279" w:space="1559"/>
            <w:col w:w="1832"/>
          </w:cols>
        </w:sectPr>
      </w:pPr>
    </w:p>
    <w:p w14:paraId="60BFE25E" w14:textId="77777777" w:rsidR="00990BD0" w:rsidRDefault="00990BD0">
      <w:pPr>
        <w:pStyle w:val="BodyText"/>
        <w:spacing w:before="9"/>
        <w:rPr>
          <w:b/>
        </w:rPr>
      </w:pPr>
    </w:p>
    <w:p w14:paraId="3C5C15D4" w14:textId="77777777" w:rsidR="00990BD0" w:rsidRDefault="0041006E">
      <w:pPr>
        <w:pStyle w:val="ListParagraph"/>
        <w:numPr>
          <w:ilvl w:val="0"/>
          <w:numId w:val="1"/>
        </w:numPr>
        <w:tabs>
          <w:tab w:val="left" w:pos="476"/>
          <w:tab w:val="left" w:pos="478"/>
        </w:tabs>
        <w:spacing w:line="249" w:lineRule="auto"/>
        <w:ind w:right="353"/>
        <w:rPr>
          <w:sz w:val="10"/>
        </w:rPr>
      </w:pPr>
      <w:r>
        <w:rPr>
          <w:color w:val="231F20"/>
          <w:sz w:val="10"/>
        </w:rPr>
        <w:t>Any member entitled to attend and vote at the Annual General Meeting is entitled to appoint one or more proxies (who need not be a member of the Company) to attend and to vote instead of the member. Completion and return</w:t>
      </w:r>
      <w:r>
        <w:rPr>
          <w:color w:val="231F20"/>
          <w:spacing w:val="2"/>
          <w:sz w:val="10"/>
        </w:rPr>
        <w:t xml:space="preserve"> </w:t>
      </w:r>
      <w:r>
        <w:rPr>
          <w:color w:val="231F20"/>
          <w:sz w:val="10"/>
        </w:rPr>
        <w:t>of</w:t>
      </w:r>
      <w:r>
        <w:rPr>
          <w:color w:val="231F20"/>
          <w:spacing w:val="2"/>
          <w:sz w:val="10"/>
        </w:rPr>
        <w:t xml:space="preserve"> </w:t>
      </w:r>
      <w:r>
        <w:rPr>
          <w:color w:val="231F20"/>
          <w:sz w:val="10"/>
        </w:rPr>
        <w:t>a</w:t>
      </w:r>
      <w:r>
        <w:rPr>
          <w:color w:val="231F20"/>
          <w:spacing w:val="2"/>
          <w:sz w:val="10"/>
        </w:rPr>
        <w:t xml:space="preserve"> </w:t>
      </w:r>
      <w:r>
        <w:rPr>
          <w:color w:val="231F20"/>
          <w:sz w:val="10"/>
        </w:rPr>
        <w:t>form</w:t>
      </w:r>
      <w:r>
        <w:rPr>
          <w:color w:val="231F20"/>
          <w:spacing w:val="2"/>
          <w:sz w:val="10"/>
        </w:rPr>
        <w:t xml:space="preserve"> </w:t>
      </w:r>
      <w:r>
        <w:rPr>
          <w:color w:val="231F20"/>
          <w:sz w:val="10"/>
        </w:rPr>
        <w:t>of</w:t>
      </w:r>
      <w:r>
        <w:rPr>
          <w:color w:val="231F20"/>
          <w:spacing w:val="2"/>
          <w:sz w:val="10"/>
        </w:rPr>
        <w:t xml:space="preserve"> </w:t>
      </w:r>
      <w:r>
        <w:rPr>
          <w:color w:val="231F20"/>
          <w:sz w:val="10"/>
        </w:rPr>
        <w:t>proxy</w:t>
      </w:r>
      <w:r>
        <w:rPr>
          <w:color w:val="231F20"/>
          <w:spacing w:val="2"/>
          <w:sz w:val="10"/>
        </w:rPr>
        <w:t xml:space="preserve"> </w:t>
      </w:r>
      <w:r>
        <w:rPr>
          <w:color w:val="231F20"/>
          <w:sz w:val="10"/>
        </w:rPr>
        <w:t>will</w:t>
      </w:r>
      <w:r>
        <w:rPr>
          <w:color w:val="231F20"/>
          <w:spacing w:val="2"/>
          <w:sz w:val="10"/>
        </w:rPr>
        <w:t xml:space="preserve"> </w:t>
      </w:r>
      <w:r>
        <w:rPr>
          <w:color w:val="231F20"/>
          <w:sz w:val="10"/>
        </w:rPr>
        <w:t>not</w:t>
      </w:r>
      <w:r>
        <w:rPr>
          <w:color w:val="231F20"/>
          <w:spacing w:val="2"/>
          <w:sz w:val="10"/>
        </w:rPr>
        <w:t xml:space="preserve"> </w:t>
      </w:r>
      <w:r>
        <w:rPr>
          <w:color w:val="231F20"/>
          <w:sz w:val="10"/>
        </w:rPr>
        <w:t>preclude</w:t>
      </w:r>
      <w:r>
        <w:rPr>
          <w:color w:val="231F20"/>
          <w:spacing w:val="2"/>
          <w:sz w:val="10"/>
        </w:rPr>
        <w:t xml:space="preserve"> </w:t>
      </w:r>
      <w:r>
        <w:rPr>
          <w:color w:val="231F20"/>
          <w:sz w:val="10"/>
        </w:rPr>
        <w:t>a</w:t>
      </w:r>
      <w:r>
        <w:rPr>
          <w:color w:val="231F20"/>
          <w:spacing w:val="2"/>
          <w:sz w:val="10"/>
        </w:rPr>
        <w:t xml:space="preserve"> </w:t>
      </w:r>
      <w:r>
        <w:rPr>
          <w:color w:val="231F20"/>
          <w:sz w:val="10"/>
        </w:rPr>
        <w:t>member</w:t>
      </w:r>
      <w:r>
        <w:rPr>
          <w:color w:val="231F20"/>
          <w:spacing w:val="2"/>
          <w:sz w:val="10"/>
        </w:rPr>
        <w:t xml:space="preserve"> </w:t>
      </w:r>
      <w:r>
        <w:rPr>
          <w:color w:val="231F20"/>
          <w:sz w:val="10"/>
        </w:rPr>
        <w:t>from</w:t>
      </w:r>
      <w:r>
        <w:rPr>
          <w:color w:val="231F20"/>
          <w:spacing w:val="2"/>
          <w:sz w:val="10"/>
        </w:rPr>
        <w:t xml:space="preserve"> </w:t>
      </w:r>
      <w:r>
        <w:rPr>
          <w:color w:val="231F20"/>
          <w:sz w:val="10"/>
        </w:rPr>
        <w:t>attending</w:t>
      </w:r>
      <w:r>
        <w:rPr>
          <w:color w:val="231F20"/>
          <w:spacing w:val="2"/>
          <w:sz w:val="10"/>
        </w:rPr>
        <w:t xml:space="preserve"> </w:t>
      </w:r>
      <w:r>
        <w:rPr>
          <w:color w:val="231F20"/>
          <w:sz w:val="10"/>
        </w:rPr>
        <w:t>and</w:t>
      </w:r>
      <w:r>
        <w:rPr>
          <w:color w:val="231F20"/>
          <w:spacing w:val="2"/>
          <w:sz w:val="10"/>
        </w:rPr>
        <w:t xml:space="preserve"> </w:t>
      </w:r>
      <w:r>
        <w:rPr>
          <w:color w:val="231F20"/>
          <w:sz w:val="10"/>
        </w:rPr>
        <w:t>voting</w:t>
      </w:r>
      <w:r>
        <w:rPr>
          <w:color w:val="231F20"/>
          <w:spacing w:val="2"/>
          <w:sz w:val="10"/>
        </w:rPr>
        <w:t xml:space="preserve"> </w:t>
      </w:r>
      <w:r>
        <w:rPr>
          <w:color w:val="231F20"/>
          <w:sz w:val="10"/>
        </w:rPr>
        <w:t>at</w:t>
      </w:r>
      <w:r>
        <w:rPr>
          <w:color w:val="231F20"/>
          <w:spacing w:val="2"/>
          <w:sz w:val="10"/>
        </w:rPr>
        <w:t xml:space="preserve"> </w:t>
      </w:r>
      <w:r>
        <w:rPr>
          <w:color w:val="231F20"/>
          <w:sz w:val="10"/>
        </w:rPr>
        <w:t>the</w:t>
      </w:r>
      <w:r>
        <w:rPr>
          <w:color w:val="231F20"/>
          <w:spacing w:val="2"/>
          <w:sz w:val="10"/>
        </w:rPr>
        <w:t xml:space="preserve"> </w:t>
      </w:r>
      <w:r>
        <w:rPr>
          <w:color w:val="231F20"/>
          <w:sz w:val="10"/>
        </w:rPr>
        <w:t>meeting</w:t>
      </w:r>
      <w:r>
        <w:rPr>
          <w:color w:val="231F20"/>
          <w:spacing w:val="2"/>
          <w:sz w:val="10"/>
        </w:rPr>
        <w:t xml:space="preserve"> </w:t>
      </w:r>
      <w:r>
        <w:rPr>
          <w:color w:val="231F20"/>
          <w:sz w:val="10"/>
        </w:rPr>
        <w:t>in</w:t>
      </w:r>
      <w:r>
        <w:rPr>
          <w:color w:val="231F20"/>
          <w:spacing w:val="2"/>
          <w:sz w:val="10"/>
        </w:rPr>
        <w:t xml:space="preserve"> </w:t>
      </w:r>
      <w:r>
        <w:rPr>
          <w:color w:val="231F20"/>
          <w:sz w:val="10"/>
        </w:rPr>
        <w:t>person,</w:t>
      </w:r>
      <w:r>
        <w:rPr>
          <w:color w:val="231F20"/>
          <w:spacing w:val="2"/>
          <w:sz w:val="10"/>
        </w:rPr>
        <w:t xml:space="preserve"> </w:t>
      </w:r>
      <w:r>
        <w:rPr>
          <w:color w:val="231F20"/>
          <w:sz w:val="10"/>
        </w:rPr>
        <w:t>should</w:t>
      </w:r>
      <w:r>
        <w:rPr>
          <w:color w:val="231F20"/>
          <w:spacing w:val="2"/>
          <w:sz w:val="10"/>
        </w:rPr>
        <w:t xml:space="preserve"> </w:t>
      </w:r>
      <w:r>
        <w:rPr>
          <w:color w:val="231F20"/>
          <w:sz w:val="10"/>
        </w:rPr>
        <w:t>he</w:t>
      </w:r>
      <w:r>
        <w:rPr>
          <w:color w:val="231F20"/>
          <w:spacing w:val="2"/>
          <w:sz w:val="10"/>
        </w:rPr>
        <w:t xml:space="preserve"> </w:t>
      </w:r>
      <w:r>
        <w:rPr>
          <w:color w:val="231F20"/>
          <w:sz w:val="10"/>
        </w:rPr>
        <w:t>subsequently</w:t>
      </w:r>
      <w:r>
        <w:rPr>
          <w:color w:val="231F20"/>
          <w:spacing w:val="2"/>
          <w:sz w:val="10"/>
        </w:rPr>
        <w:t xml:space="preserve"> </w:t>
      </w:r>
      <w:r>
        <w:rPr>
          <w:color w:val="231F20"/>
          <w:sz w:val="10"/>
        </w:rPr>
        <w:t>decide</w:t>
      </w:r>
      <w:r>
        <w:rPr>
          <w:color w:val="231F20"/>
          <w:spacing w:val="2"/>
          <w:sz w:val="10"/>
        </w:rPr>
        <w:t xml:space="preserve"> </w:t>
      </w:r>
      <w:r>
        <w:rPr>
          <w:color w:val="231F20"/>
          <w:sz w:val="10"/>
        </w:rPr>
        <w:t>to</w:t>
      </w:r>
      <w:r>
        <w:rPr>
          <w:color w:val="231F20"/>
          <w:spacing w:val="2"/>
          <w:sz w:val="10"/>
        </w:rPr>
        <w:t xml:space="preserve"> </w:t>
      </w:r>
      <w:r>
        <w:rPr>
          <w:color w:val="231F20"/>
          <w:sz w:val="10"/>
        </w:rPr>
        <w:t>do</w:t>
      </w:r>
      <w:r>
        <w:rPr>
          <w:color w:val="231F20"/>
          <w:spacing w:val="2"/>
          <w:sz w:val="10"/>
        </w:rPr>
        <w:t xml:space="preserve"> </w:t>
      </w:r>
      <w:r>
        <w:rPr>
          <w:color w:val="231F20"/>
          <w:sz w:val="10"/>
        </w:rPr>
        <w:t>so.</w:t>
      </w:r>
    </w:p>
    <w:p w14:paraId="33BE2C26" w14:textId="77777777" w:rsidR="00990BD0" w:rsidRDefault="00990BD0">
      <w:pPr>
        <w:pStyle w:val="BodyText"/>
        <w:spacing w:before="4"/>
      </w:pPr>
    </w:p>
    <w:p w14:paraId="21B0883F" w14:textId="2F7B8D13" w:rsidR="00990BD0" w:rsidRDefault="0041006E">
      <w:pPr>
        <w:pStyle w:val="ListParagraph"/>
        <w:numPr>
          <w:ilvl w:val="0"/>
          <w:numId w:val="1"/>
        </w:numPr>
        <w:tabs>
          <w:tab w:val="left" w:pos="476"/>
          <w:tab w:val="left" w:pos="478"/>
        </w:tabs>
        <w:spacing w:before="1" w:line="249" w:lineRule="auto"/>
        <w:ind w:right="239"/>
        <w:rPr>
          <w:sz w:val="10"/>
        </w:rPr>
      </w:pPr>
      <w:r>
        <w:rPr>
          <w:color w:val="231F20"/>
          <w:sz w:val="10"/>
        </w:rPr>
        <w:t>If any other proxy is preferred, delete the words “the Chairman of the Meeting or” insert the full name of the proxy or proxies you wish to appoint and initial the alte</w:t>
      </w:r>
      <w:r w:rsidR="00426718">
        <w:rPr>
          <w:color w:val="231F20"/>
          <w:sz w:val="10"/>
        </w:rPr>
        <w:t>ra</w:t>
      </w:r>
      <w:r>
        <w:rPr>
          <w:color w:val="231F20"/>
          <w:sz w:val="10"/>
        </w:rPr>
        <w:t xml:space="preserve">tion. If you are appointing more than one proxy you must indicate the number of shares in respect of which you are making this appointment, you should include the number in the box provided for your first named proxy and either obtain (an) additional proxy form(s) from the Registrars </w:t>
      </w:r>
      <w:r w:rsidRPr="00426718">
        <w:rPr>
          <w:color w:val="231F20"/>
          <w:sz w:val="10"/>
        </w:rPr>
        <w:t>on 0871 664 0300 or</w:t>
      </w:r>
      <w:r>
        <w:rPr>
          <w:color w:val="231F20"/>
          <w:sz w:val="10"/>
        </w:rPr>
        <w:t xml:space="preserve"> you may photocopy this form. Please return all the forms together and tick the box to indicate each form is one of multiple instructions being given. Please take care when completing the number</w:t>
      </w:r>
      <w:r>
        <w:rPr>
          <w:color w:val="231F20"/>
          <w:spacing w:val="1"/>
          <w:sz w:val="10"/>
        </w:rPr>
        <w:t xml:space="preserve"> </w:t>
      </w:r>
      <w:r>
        <w:rPr>
          <w:color w:val="231F20"/>
          <w:sz w:val="10"/>
        </w:rPr>
        <w:t>of</w:t>
      </w:r>
      <w:r>
        <w:rPr>
          <w:color w:val="231F20"/>
          <w:spacing w:val="1"/>
          <w:sz w:val="10"/>
        </w:rPr>
        <w:t xml:space="preserve"> </w:t>
      </w:r>
      <w:r>
        <w:rPr>
          <w:color w:val="231F20"/>
          <w:sz w:val="10"/>
        </w:rPr>
        <w:t>shares;</w:t>
      </w:r>
      <w:r>
        <w:rPr>
          <w:color w:val="231F20"/>
          <w:spacing w:val="1"/>
          <w:sz w:val="10"/>
        </w:rPr>
        <w:t xml:space="preserve"> </w:t>
      </w:r>
      <w:r>
        <w:rPr>
          <w:color w:val="231F20"/>
          <w:sz w:val="10"/>
        </w:rPr>
        <w:t>if</w:t>
      </w:r>
      <w:r>
        <w:rPr>
          <w:color w:val="231F20"/>
          <w:spacing w:val="1"/>
          <w:sz w:val="10"/>
        </w:rPr>
        <w:t xml:space="preserve"> </w:t>
      </w:r>
      <w:r>
        <w:rPr>
          <w:color w:val="231F20"/>
          <w:sz w:val="10"/>
        </w:rPr>
        <w:t>the</w:t>
      </w:r>
      <w:r>
        <w:rPr>
          <w:color w:val="231F20"/>
          <w:spacing w:val="1"/>
          <w:sz w:val="10"/>
        </w:rPr>
        <w:t xml:space="preserve"> </w:t>
      </w:r>
      <w:r>
        <w:rPr>
          <w:color w:val="231F20"/>
          <w:sz w:val="10"/>
        </w:rPr>
        <w:t>total</w:t>
      </w:r>
      <w:r>
        <w:rPr>
          <w:color w:val="231F20"/>
          <w:spacing w:val="1"/>
          <w:sz w:val="10"/>
        </w:rPr>
        <w:t xml:space="preserve"> </w:t>
      </w:r>
      <w:r>
        <w:rPr>
          <w:color w:val="231F20"/>
          <w:sz w:val="10"/>
        </w:rPr>
        <w:t>number</w:t>
      </w:r>
      <w:r>
        <w:rPr>
          <w:color w:val="231F20"/>
          <w:spacing w:val="1"/>
          <w:sz w:val="10"/>
        </w:rPr>
        <w:t xml:space="preserve"> </w:t>
      </w:r>
      <w:r>
        <w:rPr>
          <w:color w:val="231F20"/>
          <w:sz w:val="10"/>
        </w:rPr>
        <w:t>of</w:t>
      </w:r>
      <w:r>
        <w:rPr>
          <w:color w:val="231F20"/>
          <w:spacing w:val="1"/>
          <w:sz w:val="10"/>
        </w:rPr>
        <w:t xml:space="preserve"> </w:t>
      </w:r>
      <w:r>
        <w:rPr>
          <w:color w:val="231F20"/>
          <w:sz w:val="10"/>
        </w:rPr>
        <w:t>shares</w:t>
      </w:r>
      <w:r>
        <w:rPr>
          <w:color w:val="231F20"/>
          <w:spacing w:val="1"/>
          <w:sz w:val="10"/>
        </w:rPr>
        <w:t xml:space="preserve"> </w:t>
      </w:r>
      <w:r>
        <w:rPr>
          <w:color w:val="231F20"/>
          <w:sz w:val="10"/>
        </w:rPr>
        <w:t>exceeds</w:t>
      </w:r>
      <w:r>
        <w:rPr>
          <w:color w:val="231F20"/>
          <w:spacing w:val="1"/>
          <w:sz w:val="10"/>
        </w:rPr>
        <w:t xml:space="preserve"> </w:t>
      </w:r>
      <w:r>
        <w:rPr>
          <w:color w:val="231F20"/>
          <w:sz w:val="10"/>
        </w:rPr>
        <w:t>the</w:t>
      </w:r>
      <w:r>
        <w:rPr>
          <w:color w:val="231F20"/>
          <w:spacing w:val="1"/>
          <w:sz w:val="10"/>
        </w:rPr>
        <w:t xml:space="preserve"> </w:t>
      </w:r>
      <w:r>
        <w:rPr>
          <w:color w:val="231F20"/>
          <w:sz w:val="10"/>
        </w:rPr>
        <w:t>total</w:t>
      </w:r>
      <w:r>
        <w:rPr>
          <w:color w:val="231F20"/>
          <w:spacing w:val="1"/>
          <w:sz w:val="10"/>
        </w:rPr>
        <w:t xml:space="preserve"> </w:t>
      </w:r>
      <w:r>
        <w:rPr>
          <w:color w:val="231F20"/>
          <w:sz w:val="10"/>
        </w:rPr>
        <w:t>held</w:t>
      </w:r>
      <w:r>
        <w:rPr>
          <w:color w:val="231F20"/>
          <w:spacing w:val="1"/>
          <w:sz w:val="10"/>
        </w:rPr>
        <w:t xml:space="preserve"> </w:t>
      </w:r>
      <w:r>
        <w:rPr>
          <w:color w:val="231F20"/>
          <w:sz w:val="10"/>
        </w:rPr>
        <w:t>by</w:t>
      </w:r>
      <w:r>
        <w:rPr>
          <w:color w:val="231F20"/>
          <w:spacing w:val="1"/>
          <w:sz w:val="10"/>
        </w:rPr>
        <w:t xml:space="preserve"> </w:t>
      </w:r>
      <w:r>
        <w:rPr>
          <w:color w:val="231F20"/>
          <w:sz w:val="10"/>
        </w:rPr>
        <w:t>the</w:t>
      </w:r>
      <w:r>
        <w:rPr>
          <w:color w:val="231F20"/>
          <w:spacing w:val="1"/>
          <w:sz w:val="10"/>
        </w:rPr>
        <w:t xml:space="preserve"> </w:t>
      </w:r>
      <w:r>
        <w:rPr>
          <w:color w:val="231F20"/>
          <w:sz w:val="10"/>
        </w:rPr>
        <w:t>member,</w:t>
      </w:r>
      <w:r>
        <w:rPr>
          <w:color w:val="231F20"/>
          <w:spacing w:val="1"/>
          <w:sz w:val="10"/>
        </w:rPr>
        <w:t xml:space="preserve"> </w:t>
      </w:r>
      <w:r>
        <w:rPr>
          <w:color w:val="231F20"/>
          <w:sz w:val="10"/>
        </w:rPr>
        <w:t>all</w:t>
      </w:r>
      <w:r>
        <w:rPr>
          <w:color w:val="231F20"/>
          <w:spacing w:val="1"/>
          <w:sz w:val="10"/>
        </w:rPr>
        <w:t xml:space="preserve"> </w:t>
      </w:r>
      <w:r>
        <w:rPr>
          <w:color w:val="231F20"/>
          <w:sz w:val="10"/>
        </w:rPr>
        <w:t>appointments</w:t>
      </w:r>
      <w:r>
        <w:rPr>
          <w:color w:val="231F20"/>
          <w:spacing w:val="1"/>
          <w:sz w:val="10"/>
        </w:rPr>
        <w:t xml:space="preserve"> </w:t>
      </w:r>
      <w:r>
        <w:rPr>
          <w:color w:val="231F20"/>
          <w:sz w:val="10"/>
        </w:rPr>
        <w:t>may</w:t>
      </w:r>
      <w:r>
        <w:rPr>
          <w:color w:val="231F20"/>
          <w:spacing w:val="1"/>
          <w:sz w:val="10"/>
        </w:rPr>
        <w:t xml:space="preserve"> </w:t>
      </w:r>
      <w:r>
        <w:rPr>
          <w:color w:val="231F20"/>
          <w:sz w:val="10"/>
        </w:rPr>
        <w:t>be</w:t>
      </w:r>
      <w:r>
        <w:rPr>
          <w:color w:val="231F20"/>
          <w:spacing w:val="1"/>
          <w:sz w:val="10"/>
        </w:rPr>
        <w:t xml:space="preserve"> </w:t>
      </w:r>
      <w:r>
        <w:rPr>
          <w:color w:val="231F20"/>
          <w:sz w:val="10"/>
        </w:rPr>
        <w:t>invalid.</w:t>
      </w:r>
    </w:p>
    <w:p w14:paraId="0C679595" w14:textId="77777777" w:rsidR="00990BD0" w:rsidRDefault="00990BD0">
      <w:pPr>
        <w:pStyle w:val="BodyText"/>
        <w:spacing w:before="5"/>
      </w:pPr>
    </w:p>
    <w:p w14:paraId="7CE22D8C" w14:textId="77777777" w:rsidR="00990BD0" w:rsidRDefault="0041006E">
      <w:pPr>
        <w:pStyle w:val="ListParagraph"/>
        <w:numPr>
          <w:ilvl w:val="0"/>
          <w:numId w:val="1"/>
        </w:numPr>
        <w:tabs>
          <w:tab w:val="left" w:pos="476"/>
          <w:tab w:val="left" w:pos="478"/>
        </w:tabs>
        <w:spacing w:line="249" w:lineRule="auto"/>
        <w:ind w:right="273"/>
        <w:rPr>
          <w:sz w:val="10"/>
        </w:rPr>
      </w:pPr>
      <w:r>
        <w:rPr>
          <w:color w:val="231F20"/>
          <w:sz w:val="10"/>
        </w:rPr>
        <w:t xml:space="preserve">In the case of a corporation this form of proxy must be executed under its common seal or under the hand of an officer or attorney duly </w:t>
      </w:r>
      <w:proofErr w:type="spellStart"/>
      <w:r>
        <w:rPr>
          <w:color w:val="231F20"/>
          <w:sz w:val="10"/>
        </w:rPr>
        <w:t>authorised</w:t>
      </w:r>
      <w:proofErr w:type="spellEnd"/>
      <w:r>
        <w:rPr>
          <w:color w:val="231F20"/>
          <w:sz w:val="10"/>
        </w:rPr>
        <w:t xml:space="preserve"> in writing.  In the case of an individual, the form of proxy must be signed </w:t>
      </w:r>
      <w:proofErr w:type="gramStart"/>
      <w:r>
        <w:rPr>
          <w:color w:val="231F20"/>
          <w:sz w:val="10"/>
        </w:rPr>
        <w:t>by  the</w:t>
      </w:r>
      <w:proofErr w:type="gramEnd"/>
      <w:r>
        <w:rPr>
          <w:color w:val="231F20"/>
          <w:sz w:val="10"/>
        </w:rPr>
        <w:t xml:space="preserve"> individual or his</w:t>
      </w:r>
      <w:r>
        <w:rPr>
          <w:color w:val="231F20"/>
          <w:spacing w:val="6"/>
          <w:sz w:val="10"/>
        </w:rPr>
        <w:t xml:space="preserve"> </w:t>
      </w:r>
      <w:r>
        <w:rPr>
          <w:color w:val="231F20"/>
          <w:sz w:val="10"/>
        </w:rPr>
        <w:t>attorney.</w:t>
      </w:r>
    </w:p>
    <w:p w14:paraId="0BFA4B73" w14:textId="77777777" w:rsidR="00990BD0" w:rsidRDefault="00990BD0">
      <w:pPr>
        <w:pStyle w:val="BodyText"/>
        <w:spacing w:before="4"/>
      </w:pPr>
    </w:p>
    <w:p w14:paraId="1C2D2A5C" w14:textId="77777777" w:rsidR="00990BD0" w:rsidRDefault="0041006E">
      <w:pPr>
        <w:pStyle w:val="ListParagraph"/>
        <w:numPr>
          <w:ilvl w:val="0"/>
          <w:numId w:val="1"/>
        </w:numPr>
        <w:tabs>
          <w:tab w:val="left" w:pos="476"/>
          <w:tab w:val="left" w:pos="478"/>
        </w:tabs>
        <w:spacing w:before="1" w:line="249" w:lineRule="auto"/>
        <w:ind w:right="170"/>
        <w:rPr>
          <w:sz w:val="10"/>
        </w:rPr>
      </w:pPr>
      <w:r>
        <w:rPr>
          <w:color w:val="231F20"/>
          <w:sz w:val="10"/>
        </w:rPr>
        <w:t>In the case of joint holders, the vote of the senior who tenders a vote, whether in person or by proxy, will be accepted to the exclusion of the votes of the other joint holders and for this purpose seniority shall be determined by the order in which the names stand in the register of</w:t>
      </w:r>
      <w:r>
        <w:rPr>
          <w:color w:val="231F20"/>
          <w:spacing w:val="23"/>
          <w:sz w:val="10"/>
        </w:rPr>
        <w:t xml:space="preserve"> </w:t>
      </w:r>
      <w:r>
        <w:rPr>
          <w:color w:val="231F20"/>
          <w:sz w:val="10"/>
        </w:rPr>
        <w:t>members.</w:t>
      </w:r>
    </w:p>
    <w:p w14:paraId="0BBECC03" w14:textId="77777777" w:rsidR="00990BD0" w:rsidRDefault="00990BD0">
      <w:pPr>
        <w:pStyle w:val="BodyText"/>
        <w:spacing w:before="5"/>
      </w:pPr>
    </w:p>
    <w:p w14:paraId="31A55898" w14:textId="77777777" w:rsidR="00990BD0" w:rsidRDefault="0041006E">
      <w:pPr>
        <w:pStyle w:val="ListParagraph"/>
        <w:numPr>
          <w:ilvl w:val="0"/>
          <w:numId w:val="1"/>
        </w:numPr>
        <w:tabs>
          <w:tab w:val="left" w:pos="476"/>
          <w:tab w:val="left" w:pos="478"/>
        </w:tabs>
        <w:rPr>
          <w:sz w:val="10"/>
        </w:rPr>
      </w:pPr>
      <w:r>
        <w:rPr>
          <w:color w:val="231F20"/>
          <w:sz w:val="10"/>
        </w:rPr>
        <w:t>If</w:t>
      </w:r>
      <w:r>
        <w:rPr>
          <w:color w:val="231F20"/>
          <w:spacing w:val="1"/>
          <w:sz w:val="10"/>
        </w:rPr>
        <w:t xml:space="preserve"> </w:t>
      </w:r>
      <w:r>
        <w:rPr>
          <w:color w:val="231F20"/>
          <w:sz w:val="10"/>
        </w:rPr>
        <w:t>you</w:t>
      </w:r>
      <w:r>
        <w:rPr>
          <w:color w:val="231F20"/>
          <w:spacing w:val="1"/>
          <w:sz w:val="10"/>
        </w:rPr>
        <w:t xml:space="preserve"> </w:t>
      </w:r>
      <w:r>
        <w:rPr>
          <w:color w:val="231F20"/>
          <w:sz w:val="10"/>
        </w:rPr>
        <w:t>want</w:t>
      </w:r>
      <w:r>
        <w:rPr>
          <w:color w:val="231F20"/>
          <w:spacing w:val="1"/>
          <w:sz w:val="10"/>
        </w:rPr>
        <w:t xml:space="preserve"> </w:t>
      </w:r>
      <w:r>
        <w:rPr>
          <w:color w:val="231F20"/>
          <w:sz w:val="10"/>
        </w:rPr>
        <w:t>your</w:t>
      </w:r>
      <w:r>
        <w:rPr>
          <w:color w:val="231F20"/>
          <w:spacing w:val="1"/>
          <w:sz w:val="10"/>
        </w:rPr>
        <w:t xml:space="preserve"> </w:t>
      </w:r>
      <w:r>
        <w:rPr>
          <w:color w:val="231F20"/>
          <w:sz w:val="10"/>
        </w:rPr>
        <w:t>proxy</w:t>
      </w:r>
      <w:r>
        <w:rPr>
          <w:color w:val="231F20"/>
          <w:spacing w:val="1"/>
          <w:sz w:val="10"/>
        </w:rPr>
        <w:t xml:space="preserve"> </w:t>
      </w:r>
      <w:r>
        <w:rPr>
          <w:color w:val="231F20"/>
          <w:sz w:val="10"/>
        </w:rPr>
        <w:t>to</w:t>
      </w:r>
      <w:r>
        <w:rPr>
          <w:color w:val="231F20"/>
          <w:spacing w:val="1"/>
          <w:sz w:val="10"/>
        </w:rPr>
        <w:t xml:space="preserve"> </w:t>
      </w:r>
      <w:r>
        <w:rPr>
          <w:color w:val="231F20"/>
          <w:sz w:val="10"/>
        </w:rPr>
        <w:t>vote</w:t>
      </w:r>
      <w:r>
        <w:rPr>
          <w:color w:val="231F20"/>
          <w:spacing w:val="1"/>
          <w:sz w:val="10"/>
        </w:rPr>
        <w:t xml:space="preserve"> </w:t>
      </w:r>
      <w:r>
        <w:rPr>
          <w:color w:val="231F20"/>
          <w:sz w:val="10"/>
        </w:rPr>
        <w:t>in</w:t>
      </w:r>
      <w:r>
        <w:rPr>
          <w:color w:val="231F20"/>
          <w:spacing w:val="1"/>
          <w:sz w:val="10"/>
        </w:rPr>
        <w:t xml:space="preserve"> </w:t>
      </w:r>
      <w:r>
        <w:rPr>
          <w:color w:val="231F20"/>
          <w:sz w:val="10"/>
        </w:rPr>
        <w:t>a</w:t>
      </w:r>
      <w:r>
        <w:rPr>
          <w:color w:val="231F20"/>
          <w:spacing w:val="1"/>
          <w:sz w:val="10"/>
        </w:rPr>
        <w:t xml:space="preserve"> </w:t>
      </w:r>
      <w:r>
        <w:rPr>
          <w:color w:val="231F20"/>
          <w:sz w:val="10"/>
        </w:rPr>
        <w:t>certain</w:t>
      </w:r>
      <w:r>
        <w:rPr>
          <w:color w:val="231F20"/>
          <w:spacing w:val="1"/>
          <w:sz w:val="10"/>
        </w:rPr>
        <w:t xml:space="preserve"> </w:t>
      </w:r>
      <w:r>
        <w:rPr>
          <w:color w:val="231F20"/>
          <w:sz w:val="10"/>
        </w:rPr>
        <w:t>way</w:t>
      </w:r>
      <w:r>
        <w:rPr>
          <w:color w:val="231F20"/>
          <w:spacing w:val="1"/>
          <w:sz w:val="10"/>
        </w:rPr>
        <w:t xml:space="preserve"> </w:t>
      </w:r>
      <w:r>
        <w:rPr>
          <w:color w:val="231F20"/>
          <w:sz w:val="10"/>
        </w:rPr>
        <w:t>on</w:t>
      </w:r>
      <w:r>
        <w:rPr>
          <w:color w:val="231F20"/>
          <w:spacing w:val="1"/>
          <w:sz w:val="10"/>
        </w:rPr>
        <w:t xml:space="preserve"> </w:t>
      </w:r>
      <w:r>
        <w:rPr>
          <w:color w:val="231F20"/>
          <w:sz w:val="10"/>
        </w:rPr>
        <w:t>the</w:t>
      </w:r>
      <w:r>
        <w:rPr>
          <w:color w:val="231F20"/>
          <w:spacing w:val="1"/>
          <w:sz w:val="10"/>
        </w:rPr>
        <w:t xml:space="preserve"> </w:t>
      </w:r>
      <w:r>
        <w:rPr>
          <w:color w:val="231F20"/>
          <w:sz w:val="10"/>
        </w:rPr>
        <w:t>resolutions,</w:t>
      </w:r>
      <w:r>
        <w:rPr>
          <w:color w:val="231F20"/>
          <w:spacing w:val="1"/>
          <w:sz w:val="10"/>
        </w:rPr>
        <w:t xml:space="preserve"> </w:t>
      </w:r>
      <w:r>
        <w:rPr>
          <w:color w:val="231F20"/>
          <w:sz w:val="10"/>
        </w:rPr>
        <w:t>please</w:t>
      </w:r>
      <w:r>
        <w:rPr>
          <w:color w:val="231F20"/>
          <w:spacing w:val="1"/>
          <w:sz w:val="10"/>
        </w:rPr>
        <w:t xml:space="preserve"> </w:t>
      </w:r>
      <w:r>
        <w:rPr>
          <w:color w:val="231F20"/>
          <w:sz w:val="10"/>
        </w:rPr>
        <w:t>insert</w:t>
      </w:r>
      <w:r>
        <w:rPr>
          <w:color w:val="231F20"/>
          <w:spacing w:val="1"/>
          <w:sz w:val="10"/>
        </w:rPr>
        <w:t xml:space="preserve"> </w:t>
      </w:r>
      <w:r>
        <w:rPr>
          <w:color w:val="231F20"/>
          <w:sz w:val="10"/>
        </w:rPr>
        <w:t>“X”</w:t>
      </w:r>
      <w:r>
        <w:rPr>
          <w:color w:val="231F20"/>
          <w:spacing w:val="1"/>
          <w:sz w:val="10"/>
        </w:rPr>
        <w:t xml:space="preserve"> </w:t>
      </w:r>
      <w:r>
        <w:rPr>
          <w:color w:val="231F20"/>
          <w:sz w:val="10"/>
        </w:rPr>
        <w:t>in</w:t>
      </w:r>
      <w:r>
        <w:rPr>
          <w:color w:val="231F20"/>
          <w:spacing w:val="1"/>
          <w:sz w:val="10"/>
        </w:rPr>
        <w:t xml:space="preserve"> </w:t>
      </w:r>
      <w:r>
        <w:rPr>
          <w:color w:val="231F20"/>
          <w:sz w:val="10"/>
        </w:rPr>
        <w:t>the</w:t>
      </w:r>
      <w:r>
        <w:rPr>
          <w:color w:val="231F20"/>
          <w:spacing w:val="1"/>
          <w:sz w:val="10"/>
        </w:rPr>
        <w:t xml:space="preserve"> </w:t>
      </w:r>
      <w:r>
        <w:rPr>
          <w:color w:val="231F20"/>
          <w:sz w:val="10"/>
        </w:rPr>
        <w:t>relevant</w:t>
      </w:r>
      <w:r>
        <w:rPr>
          <w:color w:val="231F20"/>
          <w:spacing w:val="1"/>
          <w:sz w:val="10"/>
        </w:rPr>
        <w:t xml:space="preserve"> </w:t>
      </w:r>
      <w:r>
        <w:rPr>
          <w:color w:val="231F20"/>
          <w:sz w:val="10"/>
        </w:rPr>
        <w:t>box.</w:t>
      </w:r>
    </w:p>
    <w:p w14:paraId="2F44A054" w14:textId="77777777" w:rsidR="00990BD0" w:rsidRDefault="00990BD0">
      <w:pPr>
        <w:pStyle w:val="BodyText"/>
        <w:spacing w:before="9"/>
      </w:pPr>
    </w:p>
    <w:p w14:paraId="76C77993" w14:textId="77777777" w:rsidR="00990BD0" w:rsidRPr="00C6373E" w:rsidRDefault="0041006E">
      <w:pPr>
        <w:pStyle w:val="ListParagraph"/>
        <w:numPr>
          <w:ilvl w:val="0"/>
          <w:numId w:val="1"/>
        </w:numPr>
        <w:tabs>
          <w:tab w:val="left" w:pos="476"/>
          <w:tab w:val="left" w:pos="478"/>
        </w:tabs>
        <w:spacing w:line="249" w:lineRule="auto"/>
        <w:ind w:right="203"/>
        <w:rPr>
          <w:color w:val="231F20"/>
          <w:sz w:val="10"/>
        </w:rPr>
      </w:pPr>
      <w:r>
        <w:rPr>
          <w:color w:val="231F20"/>
          <w:sz w:val="10"/>
        </w:rPr>
        <w:t xml:space="preserve">The “vote withheld” option is provided to enable you to abstain on any </w:t>
      </w:r>
      <w:proofErr w:type="gramStart"/>
      <w:r>
        <w:rPr>
          <w:color w:val="231F20"/>
          <w:sz w:val="10"/>
        </w:rPr>
        <w:t>particular resolution</w:t>
      </w:r>
      <w:proofErr w:type="gramEnd"/>
      <w:r>
        <w:rPr>
          <w:color w:val="231F20"/>
          <w:sz w:val="10"/>
        </w:rPr>
        <w:t xml:space="preserve">. However, it should be noted that a “vote withheld” is not a vote in law and will not be counted in the calculation of the proportion of votes “For” and “Against” </w:t>
      </w:r>
      <w:r w:rsidR="00C6373E">
        <w:rPr>
          <w:color w:val="231F20"/>
          <w:sz w:val="10"/>
        </w:rPr>
        <w:t xml:space="preserve">a </w:t>
      </w:r>
      <w:r w:rsidR="00C6373E" w:rsidRPr="00C6373E">
        <w:rPr>
          <w:color w:val="231F20"/>
          <w:sz w:val="10"/>
        </w:rPr>
        <w:t>resolution</w:t>
      </w:r>
      <w:r>
        <w:rPr>
          <w:color w:val="231F20"/>
          <w:sz w:val="10"/>
        </w:rPr>
        <w:t>.</w:t>
      </w:r>
    </w:p>
    <w:p w14:paraId="5D8FEC0B" w14:textId="77777777" w:rsidR="00990BD0" w:rsidRDefault="00990BD0">
      <w:pPr>
        <w:pStyle w:val="BodyText"/>
        <w:spacing w:before="5"/>
      </w:pPr>
    </w:p>
    <w:p w14:paraId="755F54B5" w14:textId="77777777" w:rsidR="00990BD0" w:rsidRDefault="0041006E">
      <w:pPr>
        <w:pStyle w:val="ListParagraph"/>
        <w:numPr>
          <w:ilvl w:val="0"/>
          <w:numId w:val="1"/>
        </w:numPr>
        <w:tabs>
          <w:tab w:val="left" w:pos="476"/>
          <w:tab w:val="left" w:pos="478"/>
        </w:tabs>
        <w:spacing w:line="249" w:lineRule="auto"/>
        <w:ind w:right="205"/>
        <w:rPr>
          <w:sz w:val="10"/>
        </w:rPr>
      </w:pPr>
      <w:r>
        <w:rPr>
          <w:color w:val="231F20"/>
          <w:sz w:val="10"/>
        </w:rPr>
        <w:t xml:space="preserve">If this form of proxy is returned duly signed but without any indication as to how the person appointed proxy shall vote, he will exercise his discretion as to how he votes and </w:t>
      </w:r>
      <w:proofErr w:type="gramStart"/>
      <w:r>
        <w:rPr>
          <w:color w:val="231F20"/>
          <w:sz w:val="10"/>
        </w:rPr>
        <w:t>whether or not</w:t>
      </w:r>
      <w:proofErr w:type="gramEnd"/>
      <w:r>
        <w:rPr>
          <w:color w:val="231F20"/>
          <w:sz w:val="10"/>
        </w:rPr>
        <w:t xml:space="preserve"> he abstains from voting. </w:t>
      </w:r>
      <w:r>
        <w:rPr>
          <w:color w:val="231F20"/>
          <w:spacing w:val="-3"/>
          <w:sz w:val="10"/>
        </w:rPr>
        <w:t xml:space="preserve">Your </w:t>
      </w:r>
      <w:r>
        <w:rPr>
          <w:color w:val="231F20"/>
          <w:sz w:val="10"/>
        </w:rPr>
        <w:t>proxy can</w:t>
      </w:r>
      <w:r>
        <w:rPr>
          <w:color w:val="231F20"/>
          <w:spacing w:val="2"/>
          <w:sz w:val="10"/>
        </w:rPr>
        <w:t xml:space="preserve"> </w:t>
      </w:r>
      <w:r>
        <w:rPr>
          <w:color w:val="231F20"/>
          <w:sz w:val="10"/>
        </w:rPr>
        <w:t>also</w:t>
      </w:r>
      <w:r>
        <w:rPr>
          <w:color w:val="231F20"/>
          <w:spacing w:val="2"/>
          <w:sz w:val="10"/>
        </w:rPr>
        <w:t xml:space="preserve"> </w:t>
      </w:r>
      <w:r>
        <w:rPr>
          <w:color w:val="231F20"/>
          <w:sz w:val="10"/>
        </w:rPr>
        <w:t>do</w:t>
      </w:r>
      <w:r>
        <w:rPr>
          <w:color w:val="231F20"/>
          <w:spacing w:val="2"/>
          <w:sz w:val="10"/>
        </w:rPr>
        <w:t xml:space="preserve"> </w:t>
      </w:r>
      <w:r>
        <w:rPr>
          <w:color w:val="231F20"/>
          <w:sz w:val="10"/>
        </w:rPr>
        <w:t>this</w:t>
      </w:r>
      <w:r>
        <w:rPr>
          <w:color w:val="231F20"/>
          <w:spacing w:val="2"/>
          <w:sz w:val="10"/>
        </w:rPr>
        <w:t xml:space="preserve"> </w:t>
      </w:r>
      <w:r>
        <w:rPr>
          <w:color w:val="231F20"/>
          <w:sz w:val="10"/>
        </w:rPr>
        <w:t>on</w:t>
      </w:r>
      <w:r>
        <w:rPr>
          <w:color w:val="231F20"/>
          <w:spacing w:val="2"/>
          <w:sz w:val="10"/>
        </w:rPr>
        <w:t xml:space="preserve"> </w:t>
      </w:r>
      <w:r>
        <w:rPr>
          <w:color w:val="231F20"/>
          <w:sz w:val="10"/>
        </w:rPr>
        <w:t>any</w:t>
      </w:r>
      <w:r>
        <w:rPr>
          <w:color w:val="231F20"/>
          <w:spacing w:val="2"/>
          <w:sz w:val="10"/>
        </w:rPr>
        <w:t xml:space="preserve"> </w:t>
      </w:r>
      <w:r>
        <w:rPr>
          <w:color w:val="231F20"/>
          <w:sz w:val="10"/>
        </w:rPr>
        <w:t>other</w:t>
      </w:r>
      <w:r>
        <w:rPr>
          <w:color w:val="231F20"/>
          <w:spacing w:val="2"/>
          <w:sz w:val="10"/>
        </w:rPr>
        <w:t xml:space="preserve"> </w:t>
      </w:r>
      <w:r>
        <w:rPr>
          <w:color w:val="231F20"/>
          <w:sz w:val="10"/>
        </w:rPr>
        <w:t>resolution</w:t>
      </w:r>
      <w:r>
        <w:rPr>
          <w:color w:val="231F20"/>
          <w:spacing w:val="2"/>
          <w:sz w:val="10"/>
        </w:rPr>
        <w:t xml:space="preserve"> </w:t>
      </w:r>
      <w:r>
        <w:rPr>
          <w:color w:val="231F20"/>
          <w:sz w:val="10"/>
        </w:rPr>
        <w:t>that</w:t>
      </w:r>
      <w:r>
        <w:rPr>
          <w:color w:val="231F20"/>
          <w:spacing w:val="2"/>
          <w:sz w:val="10"/>
        </w:rPr>
        <w:t xml:space="preserve"> </w:t>
      </w:r>
      <w:r>
        <w:rPr>
          <w:color w:val="231F20"/>
          <w:sz w:val="10"/>
        </w:rPr>
        <w:t>is</w:t>
      </w:r>
      <w:r>
        <w:rPr>
          <w:color w:val="231F20"/>
          <w:spacing w:val="2"/>
          <w:sz w:val="10"/>
        </w:rPr>
        <w:t xml:space="preserve"> </w:t>
      </w:r>
      <w:r>
        <w:rPr>
          <w:color w:val="231F20"/>
          <w:sz w:val="10"/>
        </w:rPr>
        <w:t>put</w:t>
      </w:r>
      <w:r>
        <w:rPr>
          <w:color w:val="231F20"/>
          <w:spacing w:val="2"/>
          <w:sz w:val="10"/>
        </w:rPr>
        <w:t xml:space="preserve"> </w:t>
      </w:r>
      <w:r>
        <w:rPr>
          <w:color w:val="231F20"/>
          <w:sz w:val="10"/>
        </w:rPr>
        <w:t>to</w:t>
      </w:r>
      <w:r>
        <w:rPr>
          <w:color w:val="231F20"/>
          <w:spacing w:val="2"/>
          <w:sz w:val="10"/>
        </w:rPr>
        <w:t xml:space="preserve"> </w:t>
      </w:r>
      <w:r>
        <w:rPr>
          <w:color w:val="231F20"/>
          <w:sz w:val="10"/>
        </w:rPr>
        <w:t>the</w:t>
      </w:r>
      <w:r>
        <w:rPr>
          <w:color w:val="231F20"/>
          <w:spacing w:val="2"/>
          <w:sz w:val="10"/>
        </w:rPr>
        <w:t xml:space="preserve"> </w:t>
      </w:r>
      <w:r>
        <w:rPr>
          <w:color w:val="231F20"/>
          <w:sz w:val="10"/>
        </w:rPr>
        <w:t>meeting.</w:t>
      </w:r>
    </w:p>
    <w:p w14:paraId="6541A77A" w14:textId="77777777" w:rsidR="00990BD0" w:rsidRDefault="00990BD0">
      <w:pPr>
        <w:pStyle w:val="BodyText"/>
        <w:spacing w:before="5"/>
      </w:pPr>
    </w:p>
    <w:p w14:paraId="22C2D9C0" w14:textId="18F8D33A" w:rsidR="00990BD0" w:rsidRPr="00426718" w:rsidRDefault="0041006E">
      <w:pPr>
        <w:pStyle w:val="ListParagraph"/>
        <w:numPr>
          <w:ilvl w:val="0"/>
          <w:numId w:val="1"/>
        </w:numPr>
        <w:tabs>
          <w:tab w:val="left" w:pos="476"/>
          <w:tab w:val="left" w:pos="478"/>
        </w:tabs>
        <w:spacing w:line="249" w:lineRule="auto"/>
        <w:ind w:right="328"/>
        <w:rPr>
          <w:sz w:val="10"/>
        </w:rPr>
      </w:pPr>
      <w:r w:rsidRPr="00426718">
        <w:rPr>
          <w:color w:val="231F20"/>
          <w:sz w:val="10"/>
        </w:rPr>
        <w:t xml:space="preserve">In order to be valid, any form of proxy and power of attorney or other authority under which it is signed, or a </w:t>
      </w:r>
      <w:proofErr w:type="spellStart"/>
      <w:r w:rsidRPr="00426718">
        <w:rPr>
          <w:color w:val="231F20"/>
          <w:sz w:val="10"/>
        </w:rPr>
        <w:t>notarially</w:t>
      </w:r>
      <w:proofErr w:type="spellEnd"/>
      <w:r w:rsidRPr="00426718">
        <w:rPr>
          <w:color w:val="231F20"/>
          <w:sz w:val="10"/>
        </w:rPr>
        <w:t xml:space="preserve"> certified copy of such power or authority, must reach the Company’s Registrars, </w:t>
      </w:r>
      <w:r w:rsidR="00141033" w:rsidRPr="00426718">
        <w:rPr>
          <w:color w:val="231F20"/>
          <w:sz w:val="10"/>
        </w:rPr>
        <w:t>Link</w:t>
      </w:r>
      <w:r w:rsidRPr="00426718">
        <w:rPr>
          <w:color w:val="231F20"/>
          <w:sz w:val="10"/>
        </w:rPr>
        <w:t xml:space="preserve"> Asset Services, PXS, 34 Beckenham Road, Beckenham, Kent, BR3 4TU, not less than 48 hours (excluding any part of a day which is a non-working day) before the time of the meeting or of any adjournment of the meeting.</w:t>
      </w:r>
    </w:p>
    <w:p w14:paraId="282859D7" w14:textId="77777777" w:rsidR="00990BD0" w:rsidRDefault="00990BD0">
      <w:pPr>
        <w:pStyle w:val="BodyText"/>
        <w:spacing w:before="5"/>
      </w:pPr>
    </w:p>
    <w:p w14:paraId="2F0B64B3" w14:textId="77777777" w:rsidR="00990BD0" w:rsidRDefault="0041006E">
      <w:pPr>
        <w:pStyle w:val="ListParagraph"/>
        <w:numPr>
          <w:ilvl w:val="0"/>
          <w:numId w:val="1"/>
        </w:numPr>
        <w:tabs>
          <w:tab w:val="left" w:pos="476"/>
          <w:tab w:val="left" w:pos="478"/>
        </w:tabs>
        <w:rPr>
          <w:sz w:val="10"/>
        </w:rPr>
      </w:pPr>
      <w:r>
        <w:rPr>
          <w:color w:val="231F20"/>
          <w:sz w:val="10"/>
        </w:rPr>
        <w:t xml:space="preserve">Any alterations made in this form of proxy should </w:t>
      </w:r>
      <w:r w:rsidR="00C6373E">
        <w:rPr>
          <w:color w:val="231F20"/>
          <w:sz w:val="10"/>
        </w:rPr>
        <w:t xml:space="preserve">be </w:t>
      </w:r>
      <w:proofErr w:type="spellStart"/>
      <w:r w:rsidR="00C6373E">
        <w:rPr>
          <w:color w:val="231F20"/>
          <w:spacing w:val="3"/>
          <w:sz w:val="10"/>
        </w:rPr>
        <w:t>initialled</w:t>
      </w:r>
      <w:proofErr w:type="spellEnd"/>
      <w:r>
        <w:rPr>
          <w:color w:val="231F20"/>
          <w:sz w:val="10"/>
        </w:rPr>
        <w:t>.</w:t>
      </w:r>
    </w:p>
    <w:p w14:paraId="6322E777" w14:textId="77777777" w:rsidR="00990BD0" w:rsidRDefault="00990BD0">
      <w:pPr>
        <w:pStyle w:val="BodyText"/>
        <w:spacing w:before="9"/>
      </w:pPr>
    </w:p>
    <w:p w14:paraId="4D16A229" w14:textId="5E2F066E" w:rsidR="00990BD0" w:rsidRDefault="0041006E">
      <w:pPr>
        <w:pStyle w:val="ListParagraph"/>
        <w:numPr>
          <w:ilvl w:val="0"/>
          <w:numId w:val="1"/>
        </w:numPr>
        <w:tabs>
          <w:tab w:val="left" w:pos="476"/>
          <w:tab w:val="left" w:pos="478"/>
        </w:tabs>
        <w:spacing w:before="1" w:line="249" w:lineRule="auto"/>
        <w:ind w:right="281"/>
        <w:rPr>
          <w:sz w:val="10"/>
        </w:rPr>
      </w:pPr>
      <w:r>
        <w:rPr>
          <w:color w:val="231F20"/>
          <w:sz w:val="10"/>
        </w:rPr>
        <w:t xml:space="preserve">The right of members to vote at the Annual General Meeting is determined by reference to the register of members. As permitted by Regulation 41 of the Uncertificated Securities Regulations 2001, shareholders (including those who hold shares in uncertificated form) must be entered on the Company’s share register at </w:t>
      </w:r>
      <w:r w:rsidR="005D2F49">
        <w:rPr>
          <w:color w:val="231F20"/>
          <w:sz w:val="10"/>
        </w:rPr>
        <w:t xml:space="preserve">close of business </w:t>
      </w:r>
      <w:r w:rsidR="00C6373E" w:rsidRPr="00396105">
        <w:rPr>
          <w:color w:val="231F20"/>
          <w:sz w:val="10"/>
        </w:rPr>
        <w:t xml:space="preserve">on </w:t>
      </w:r>
      <w:r w:rsidR="005D2F49">
        <w:rPr>
          <w:color w:val="231F20"/>
          <w:sz w:val="10"/>
        </w:rPr>
        <w:t xml:space="preserve">15 October </w:t>
      </w:r>
      <w:r w:rsidR="00C6373E" w:rsidRPr="00396105">
        <w:rPr>
          <w:color w:val="231F20"/>
          <w:sz w:val="10"/>
        </w:rPr>
        <w:t>201</w:t>
      </w:r>
      <w:r w:rsidR="005D2F49">
        <w:rPr>
          <w:color w:val="231F20"/>
          <w:sz w:val="10"/>
        </w:rPr>
        <w:t>9</w:t>
      </w:r>
      <w:r>
        <w:rPr>
          <w:color w:val="231F20"/>
          <w:sz w:val="10"/>
        </w:rPr>
        <w:t xml:space="preserve"> in order to be entitled to attend and vote at the Annual General Meeting. Such shareholders may</w:t>
      </w:r>
      <w:r>
        <w:rPr>
          <w:color w:val="231F20"/>
          <w:spacing w:val="1"/>
          <w:sz w:val="10"/>
        </w:rPr>
        <w:t xml:space="preserve"> </w:t>
      </w:r>
      <w:r>
        <w:rPr>
          <w:color w:val="231F20"/>
          <w:sz w:val="10"/>
        </w:rPr>
        <w:t>only</w:t>
      </w:r>
      <w:r>
        <w:rPr>
          <w:color w:val="231F20"/>
          <w:spacing w:val="1"/>
          <w:sz w:val="10"/>
        </w:rPr>
        <w:t xml:space="preserve"> </w:t>
      </w:r>
      <w:r>
        <w:rPr>
          <w:color w:val="231F20"/>
          <w:sz w:val="10"/>
        </w:rPr>
        <w:t>cast</w:t>
      </w:r>
      <w:r>
        <w:rPr>
          <w:color w:val="231F20"/>
          <w:spacing w:val="1"/>
          <w:sz w:val="10"/>
        </w:rPr>
        <w:t xml:space="preserve"> </w:t>
      </w:r>
      <w:r>
        <w:rPr>
          <w:color w:val="231F20"/>
          <w:sz w:val="10"/>
        </w:rPr>
        <w:t>votes</w:t>
      </w:r>
      <w:r>
        <w:rPr>
          <w:color w:val="231F20"/>
          <w:spacing w:val="1"/>
          <w:sz w:val="10"/>
        </w:rPr>
        <w:t xml:space="preserve"> </w:t>
      </w:r>
      <w:r>
        <w:rPr>
          <w:color w:val="231F20"/>
          <w:sz w:val="10"/>
        </w:rPr>
        <w:t>in</w:t>
      </w:r>
      <w:r>
        <w:rPr>
          <w:color w:val="231F20"/>
          <w:spacing w:val="1"/>
          <w:sz w:val="10"/>
        </w:rPr>
        <w:t xml:space="preserve"> </w:t>
      </w:r>
      <w:r>
        <w:rPr>
          <w:color w:val="231F20"/>
          <w:sz w:val="10"/>
        </w:rPr>
        <w:t>respect</w:t>
      </w:r>
      <w:r>
        <w:rPr>
          <w:color w:val="231F20"/>
          <w:spacing w:val="1"/>
          <w:sz w:val="10"/>
        </w:rPr>
        <w:t xml:space="preserve"> </w:t>
      </w:r>
      <w:r>
        <w:rPr>
          <w:color w:val="231F20"/>
          <w:sz w:val="10"/>
        </w:rPr>
        <w:t>of</w:t>
      </w:r>
      <w:r>
        <w:rPr>
          <w:color w:val="231F20"/>
          <w:spacing w:val="1"/>
          <w:sz w:val="10"/>
        </w:rPr>
        <w:t xml:space="preserve"> </w:t>
      </w:r>
      <w:r>
        <w:rPr>
          <w:color w:val="231F20"/>
          <w:sz w:val="10"/>
        </w:rPr>
        <w:t>shares</w:t>
      </w:r>
      <w:r>
        <w:rPr>
          <w:color w:val="231F20"/>
          <w:spacing w:val="1"/>
          <w:sz w:val="10"/>
        </w:rPr>
        <w:t xml:space="preserve"> </w:t>
      </w:r>
      <w:r>
        <w:rPr>
          <w:color w:val="231F20"/>
          <w:sz w:val="10"/>
        </w:rPr>
        <w:t>held</w:t>
      </w:r>
      <w:r>
        <w:rPr>
          <w:color w:val="231F20"/>
          <w:spacing w:val="1"/>
          <w:sz w:val="10"/>
        </w:rPr>
        <w:t xml:space="preserve"> </w:t>
      </w:r>
      <w:r>
        <w:rPr>
          <w:color w:val="231F20"/>
          <w:sz w:val="10"/>
        </w:rPr>
        <w:t>at</w:t>
      </w:r>
      <w:r>
        <w:rPr>
          <w:color w:val="231F20"/>
          <w:spacing w:val="1"/>
          <w:sz w:val="10"/>
        </w:rPr>
        <w:t xml:space="preserve"> </w:t>
      </w:r>
      <w:r>
        <w:rPr>
          <w:color w:val="231F20"/>
          <w:sz w:val="10"/>
        </w:rPr>
        <w:t>such</w:t>
      </w:r>
      <w:r>
        <w:rPr>
          <w:color w:val="231F20"/>
          <w:spacing w:val="1"/>
          <w:sz w:val="10"/>
        </w:rPr>
        <w:t xml:space="preserve"> </w:t>
      </w:r>
      <w:r>
        <w:rPr>
          <w:color w:val="231F20"/>
          <w:sz w:val="10"/>
        </w:rPr>
        <w:t>time.</w:t>
      </w:r>
      <w:r>
        <w:rPr>
          <w:color w:val="231F20"/>
          <w:spacing w:val="1"/>
          <w:sz w:val="10"/>
        </w:rPr>
        <w:t xml:space="preserve"> </w:t>
      </w:r>
      <w:r>
        <w:rPr>
          <w:color w:val="231F20"/>
          <w:sz w:val="10"/>
        </w:rPr>
        <w:t>Changes</w:t>
      </w:r>
      <w:r>
        <w:rPr>
          <w:color w:val="231F20"/>
          <w:spacing w:val="1"/>
          <w:sz w:val="10"/>
        </w:rPr>
        <w:t xml:space="preserve"> </w:t>
      </w:r>
      <w:r>
        <w:rPr>
          <w:color w:val="231F20"/>
          <w:sz w:val="10"/>
        </w:rPr>
        <w:t>to</w:t>
      </w:r>
      <w:r>
        <w:rPr>
          <w:color w:val="231F20"/>
          <w:spacing w:val="1"/>
          <w:sz w:val="10"/>
        </w:rPr>
        <w:t xml:space="preserve"> </w:t>
      </w:r>
      <w:r>
        <w:rPr>
          <w:color w:val="231F20"/>
          <w:sz w:val="10"/>
        </w:rPr>
        <w:t>entries</w:t>
      </w:r>
      <w:r>
        <w:rPr>
          <w:color w:val="231F20"/>
          <w:spacing w:val="1"/>
          <w:sz w:val="10"/>
        </w:rPr>
        <w:t xml:space="preserve"> </w:t>
      </w:r>
      <w:r>
        <w:rPr>
          <w:color w:val="231F20"/>
          <w:sz w:val="10"/>
        </w:rPr>
        <w:t>on</w:t>
      </w:r>
      <w:r>
        <w:rPr>
          <w:color w:val="231F20"/>
          <w:spacing w:val="1"/>
          <w:sz w:val="10"/>
        </w:rPr>
        <w:t xml:space="preserve"> </w:t>
      </w:r>
      <w:r>
        <w:rPr>
          <w:color w:val="231F20"/>
          <w:sz w:val="10"/>
        </w:rPr>
        <w:t>the</w:t>
      </w:r>
      <w:r>
        <w:rPr>
          <w:color w:val="231F20"/>
          <w:spacing w:val="1"/>
          <w:sz w:val="10"/>
        </w:rPr>
        <w:t xml:space="preserve"> </w:t>
      </w:r>
      <w:r>
        <w:rPr>
          <w:color w:val="231F20"/>
          <w:sz w:val="10"/>
        </w:rPr>
        <w:t>relevant</w:t>
      </w:r>
      <w:r>
        <w:rPr>
          <w:color w:val="231F20"/>
          <w:spacing w:val="1"/>
          <w:sz w:val="10"/>
        </w:rPr>
        <w:t xml:space="preserve"> </w:t>
      </w:r>
      <w:r>
        <w:rPr>
          <w:color w:val="231F20"/>
          <w:sz w:val="10"/>
        </w:rPr>
        <w:t>register</w:t>
      </w:r>
      <w:r>
        <w:rPr>
          <w:color w:val="231F20"/>
          <w:spacing w:val="1"/>
          <w:sz w:val="10"/>
        </w:rPr>
        <w:t xml:space="preserve"> </w:t>
      </w:r>
      <w:r>
        <w:rPr>
          <w:color w:val="231F20"/>
          <w:sz w:val="10"/>
        </w:rPr>
        <w:t>after</w:t>
      </w:r>
      <w:r>
        <w:rPr>
          <w:color w:val="231F20"/>
          <w:spacing w:val="1"/>
          <w:sz w:val="10"/>
        </w:rPr>
        <w:t xml:space="preserve"> </w:t>
      </w:r>
      <w:r>
        <w:rPr>
          <w:color w:val="231F20"/>
          <w:sz w:val="10"/>
        </w:rPr>
        <w:t>that</w:t>
      </w:r>
      <w:r>
        <w:rPr>
          <w:color w:val="231F20"/>
          <w:spacing w:val="1"/>
          <w:sz w:val="10"/>
        </w:rPr>
        <w:t xml:space="preserve"> </w:t>
      </w:r>
      <w:r>
        <w:rPr>
          <w:color w:val="231F20"/>
          <w:sz w:val="10"/>
        </w:rPr>
        <w:t>time</w:t>
      </w:r>
      <w:r>
        <w:rPr>
          <w:color w:val="231F20"/>
          <w:spacing w:val="1"/>
          <w:sz w:val="10"/>
        </w:rPr>
        <w:t xml:space="preserve"> </w:t>
      </w:r>
      <w:r>
        <w:rPr>
          <w:color w:val="231F20"/>
          <w:sz w:val="10"/>
        </w:rPr>
        <w:t>shall</w:t>
      </w:r>
      <w:r>
        <w:rPr>
          <w:color w:val="231F20"/>
          <w:spacing w:val="1"/>
          <w:sz w:val="10"/>
        </w:rPr>
        <w:t xml:space="preserve"> </w:t>
      </w:r>
      <w:r>
        <w:rPr>
          <w:color w:val="231F20"/>
          <w:sz w:val="10"/>
        </w:rPr>
        <w:t>be</w:t>
      </w:r>
      <w:r>
        <w:rPr>
          <w:color w:val="231F20"/>
          <w:spacing w:val="1"/>
          <w:sz w:val="10"/>
        </w:rPr>
        <w:t xml:space="preserve"> </w:t>
      </w:r>
      <w:r>
        <w:rPr>
          <w:color w:val="231F20"/>
          <w:sz w:val="10"/>
        </w:rPr>
        <w:t>disregarded</w:t>
      </w:r>
      <w:r>
        <w:rPr>
          <w:color w:val="231F20"/>
          <w:spacing w:val="1"/>
          <w:sz w:val="10"/>
        </w:rPr>
        <w:t xml:space="preserve"> </w:t>
      </w:r>
      <w:r>
        <w:rPr>
          <w:color w:val="231F20"/>
          <w:sz w:val="10"/>
        </w:rPr>
        <w:t>in</w:t>
      </w:r>
      <w:r>
        <w:rPr>
          <w:color w:val="231F20"/>
          <w:spacing w:val="1"/>
          <w:sz w:val="10"/>
        </w:rPr>
        <w:t xml:space="preserve"> </w:t>
      </w:r>
      <w:r>
        <w:rPr>
          <w:color w:val="231F20"/>
          <w:sz w:val="10"/>
        </w:rPr>
        <w:t>determining</w:t>
      </w:r>
      <w:r>
        <w:rPr>
          <w:color w:val="231F20"/>
          <w:spacing w:val="1"/>
          <w:sz w:val="10"/>
        </w:rPr>
        <w:t xml:space="preserve"> </w:t>
      </w:r>
      <w:r>
        <w:rPr>
          <w:color w:val="231F20"/>
          <w:sz w:val="10"/>
        </w:rPr>
        <w:t>the</w:t>
      </w:r>
      <w:r>
        <w:rPr>
          <w:color w:val="231F20"/>
          <w:spacing w:val="1"/>
          <w:sz w:val="10"/>
        </w:rPr>
        <w:t xml:space="preserve"> </w:t>
      </w:r>
      <w:r>
        <w:rPr>
          <w:color w:val="231F20"/>
          <w:sz w:val="10"/>
        </w:rPr>
        <w:t>rights</w:t>
      </w:r>
      <w:r>
        <w:rPr>
          <w:color w:val="231F20"/>
          <w:spacing w:val="1"/>
          <w:sz w:val="10"/>
        </w:rPr>
        <w:t xml:space="preserve"> </w:t>
      </w:r>
      <w:r>
        <w:rPr>
          <w:color w:val="231F20"/>
          <w:sz w:val="10"/>
        </w:rPr>
        <w:t>of</w:t>
      </w:r>
      <w:r>
        <w:rPr>
          <w:color w:val="231F20"/>
          <w:spacing w:val="1"/>
          <w:sz w:val="10"/>
        </w:rPr>
        <w:t xml:space="preserve"> </w:t>
      </w:r>
      <w:r>
        <w:rPr>
          <w:color w:val="231F20"/>
          <w:sz w:val="10"/>
        </w:rPr>
        <w:t>any</w:t>
      </w:r>
      <w:r>
        <w:rPr>
          <w:color w:val="231F20"/>
          <w:spacing w:val="1"/>
          <w:sz w:val="10"/>
        </w:rPr>
        <w:t xml:space="preserve"> </w:t>
      </w:r>
      <w:r>
        <w:rPr>
          <w:color w:val="231F20"/>
          <w:sz w:val="10"/>
        </w:rPr>
        <w:t>person</w:t>
      </w:r>
      <w:r>
        <w:rPr>
          <w:color w:val="231F20"/>
          <w:spacing w:val="1"/>
          <w:sz w:val="10"/>
        </w:rPr>
        <w:t xml:space="preserve"> </w:t>
      </w:r>
      <w:r>
        <w:rPr>
          <w:color w:val="231F20"/>
          <w:sz w:val="10"/>
        </w:rPr>
        <w:t>to</w:t>
      </w:r>
      <w:r>
        <w:rPr>
          <w:color w:val="231F20"/>
          <w:spacing w:val="1"/>
          <w:sz w:val="10"/>
        </w:rPr>
        <w:t xml:space="preserve"> </w:t>
      </w:r>
      <w:r>
        <w:rPr>
          <w:color w:val="231F20"/>
          <w:sz w:val="10"/>
        </w:rPr>
        <w:t>attend</w:t>
      </w:r>
      <w:r>
        <w:rPr>
          <w:color w:val="231F20"/>
          <w:spacing w:val="1"/>
          <w:sz w:val="10"/>
        </w:rPr>
        <w:t xml:space="preserve"> </w:t>
      </w:r>
      <w:r>
        <w:rPr>
          <w:color w:val="231F20"/>
          <w:sz w:val="10"/>
        </w:rPr>
        <w:t>or</w:t>
      </w:r>
      <w:r>
        <w:rPr>
          <w:color w:val="231F20"/>
          <w:spacing w:val="1"/>
          <w:sz w:val="10"/>
        </w:rPr>
        <w:t xml:space="preserve"> </w:t>
      </w:r>
      <w:r>
        <w:rPr>
          <w:color w:val="231F20"/>
          <w:sz w:val="10"/>
        </w:rPr>
        <w:t>vote</w:t>
      </w:r>
      <w:r>
        <w:rPr>
          <w:color w:val="231F20"/>
          <w:spacing w:val="1"/>
          <w:sz w:val="10"/>
        </w:rPr>
        <w:t xml:space="preserve"> </w:t>
      </w:r>
      <w:r>
        <w:rPr>
          <w:color w:val="231F20"/>
          <w:sz w:val="10"/>
        </w:rPr>
        <w:t>at</w:t>
      </w:r>
      <w:r>
        <w:rPr>
          <w:color w:val="231F20"/>
          <w:spacing w:val="1"/>
          <w:sz w:val="10"/>
        </w:rPr>
        <w:t xml:space="preserve"> </w:t>
      </w:r>
      <w:r>
        <w:rPr>
          <w:color w:val="231F20"/>
          <w:sz w:val="10"/>
        </w:rPr>
        <w:t>the</w:t>
      </w:r>
      <w:r>
        <w:rPr>
          <w:color w:val="231F20"/>
          <w:spacing w:val="1"/>
          <w:sz w:val="10"/>
        </w:rPr>
        <w:t xml:space="preserve"> </w:t>
      </w:r>
      <w:r>
        <w:rPr>
          <w:color w:val="231F20"/>
          <w:sz w:val="10"/>
        </w:rPr>
        <w:t>meeting.</w:t>
      </w:r>
    </w:p>
    <w:p w14:paraId="7857E83E" w14:textId="77777777" w:rsidR="00990BD0" w:rsidRDefault="00990BD0">
      <w:pPr>
        <w:pStyle w:val="BodyText"/>
        <w:spacing w:before="5"/>
      </w:pPr>
    </w:p>
    <w:p w14:paraId="5F757B32" w14:textId="77777777" w:rsidR="00990BD0" w:rsidRDefault="0041006E">
      <w:pPr>
        <w:pStyle w:val="ListParagraph"/>
        <w:numPr>
          <w:ilvl w:val="0"/>
          <w:numId w:val="1"/>
        </w:numPr>
        <w:tabs>
          <w:tab w:val="left" w:pos="476"/>
          <w:tab w:val="left" w:pos="478"/>
        </w:tabs>
        <w:rPr>
          <w:sz w:val="10"/>
        </w:rPr>
      </w:pPr>
      <w:r>
        <w:rPr>
          <w:color w:val="231F20"/>
          <w:sz w:val="10"/>
        </w:rPr>
        <w:t>If two or more valid forms of proxy are delivered in respect of the same share, the one which was delivered last (regardless of its date or the date of its execution) will be valid.</w:t>
      </w:r>
    </w:p>
    <w:p w14:paraId="390423ED" w14:textId="77777777" w:rsidR="00990BD0" w:rsidRDefault="00990BD0">
      <w:pPr>
        <w:pStyle w:val="BodyText"/>
        <w:spacing w:before="9"/>
      </w:pPr>
    </w:p>
    <w:p w14:paraId="6EE3111D" w14:textId="77777777" w:rsidR="00990BD0" w:rsidRDefault="0041006E">
      <w:pPr>
        <w:pStyle w:val="ListParagraph"/>
        <w:numPr>
          <w:ilvl w:val="0"/>
          <w:numId w:val="1"/>
        </w:numPr>
        <w:tabs>
          <w:tab w:val="left" w:pos="476"/>
          <w:tab w:val="left" w:pos="478"/>
        </w:tabs>
        <w:spacing w:line="249" w:lineRule="auto"/>
        <w:ind w:right="342"/>
        <w:rPr>
          <w:sz w:val="10"/>
        </w:rPr>
      </w:pPr>
      <w:r>
        <w:rPr>
          <w:color w:val="231F20"/>
          <w:sz w:val="10"/>
        </w:rPr>
        <w:t>Copies of the service contracts and letters of appointment of each of the Directors will be available for inspection at the registered office of the Company during usual business hours on any weekday (Saturdays and public holidays excluded) and at the place of the Annual General Meeting from at least 15 minutes prior to and until the conclusion of the Annual General Meeting.</w:t>
      </w:r>
    </w:p>
    <w:sectPr w:rsidR="00990BD0">
      <w:type w:val="continuous"/>
      <w:pgSz w:w="11910" w:h="16840"/>
      <w:pgMar w:top="5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178"/>
    <w:multiLevelType w:val="hybridMultilevel"/>
    <w:tmpl w:val="D382D6C4"/>
    <w:lvl w:ilvl="0" w:tplc="B59A7F86">
      <w:start w:val="1"/>
      <w:numFmt w:val="decimal"/>
      <w:lvlText w:val="%1."/>
      <w:lvlJc w:val="left"/>
      <w:pPr>
        <w:ind w:left="477" w:hanging="360"/>
        <w:jc w:val="left"/>
      </w:pPr>
      <w:rPr>
        <w:rFonts w:ascii="Arial" w:eastAsia="Arial" w:hAnsi="Arial" w:cs="Arial" w:hint="default"/>
        <w:color w:val="231F20"/>
        <w:spacing w:val="-10"/>
        <w:w w:val="96"/>
        <w:sz w:val="10"/>
        <w:szCs w:val="10"/>
      </w:rPr>
    </w:lvl>
    <w:lvl w:ilvl="1" w:tplc="CF302532">
      <w:numFmt w:val="bullet"/>
      <w:lvlText w:val="•"/>
      <w:lvlJc w:val="left"/>
      <w:pPr>
        <w:ind w:left="1498" w:hanging="360"/>
      </w:pPr>
      <w:rPr>
        <w:rFonts w:hint="default"/>
      </w:rPr>
    </w:lvl>
    <w:lvl w:ilvl="2" w:tplc="57D4BD46">
      <w:numFmt w:val="bullet"/>
      <w:lvlText w:val="•"/>
      <w:lvlJc w:val="left"/>
      <w:pPr>
        <w:ind w:left="2517" w:hanging="360"/>
      </w:pPr>
      <w:rPr>
        <w:rFonts w:hint="default"/>
      </w:rPr>
    </w:lvl>
    <w:lvl w:ilvl="3" w:tplc="E01C4BCA">
      <w:numFmt w:val="bullet"/>
      <w:lvlText w:val="•"/>
      <w:lvlJc w:val="left"/>
      <w:pPr>
        <w:ind w:left="3535" w:hanging="360"/>
      </w:pPr>
      <w:rPr>
        <w:rFonts w:hint="default"/>
      </w:rPr>
    </w:lvl>
    <w:lvl w:ilvl="4" w:tplc="F918A782">
      <w:numFmt w:val="bullet"/>
      <w:lvlText w:val="•"/>
      <w:lvlJc w:val="left"/>
      <w:pPr>
        <w:ind w:left="4554" w:hanging="360"/>
      </w:pPr>
      <w:rPr>
        <w:rFonts w:hint="default"/>
      </w:rPr>
    </w:lvl>
    <w:lvl w:ilvl="5" w:tplc="BBBE08E6">
      <w:numFmt w:val="bullet"/>
      <w:lvlText w:val="•"/>
      <w:lvlJc w:val="left"/>
      <w:pPr>
        <w:ind w:left="5572" w:hanging="360"/>
      </w:pPr>
      <w:rPr>
        <w:rFonts w:hint="default"/>
      </w:rPr>
    </w:lvl>
    <w:lvl w:ilvl="6" w:tplc="9FA2A664">
      <w:numFmt w:val="bullet"/>
      <w:lvlText w:val="•"/>
      <w:lvlJc w:val="left"/>
      <w:pPr>
        <w:ind w:left="6591" w:hanging="360"/>
      </w:pPr>
      <w:rPr>
        <w:rFonts w:hint="default"/>
      </w:rPr>
    </w:lvl>
    <w:lvl w:ilvl="7" w:tplc="F09C4A3C">
      <w:numFmt w:val="bullet"/>
      <w:lvlText w:val="•"/>
      <w:lvlJc w:val="left"/>
      <w:pPr>
        <w:ind w:left="7609" w:hanging="360"/>
      </w:pPr>
      <w:rPr>
        <w:rFonts w:hint="default"/>
      </w:rPr>
    </w:lvl>
    <w:lvl w:ilvl="8" w:tplc="696CD9D4">
      <w:numFmt w:val="bullet"/>
      <w:lvlText w:val="•"/>
      <w:lvlJc w:val="left"/>
      <w:pPr>
        <w:ind w:left="86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revisionView w:markup="0"/>
  <w:trackRevisions/>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D0"/>
    <w:rsid w:val="000058BC"/>
    <w:rsid w:val="00077847"/>
    <w:rsid w:val="00141033"/>
    <w:rsid w:val="002A2C48"/>
    <w:rsid w:val="002E6CF0"/>
    <w:rsid w:val="00326126"/>
    <w:rsid w:val="00396105"/>
    <w:rsid w:val="003A7E27"/>
    <w:rsid w:val="0041006E"/>
    <w:rsid w:val="00426718"/>
    <w:rsid w:val="00581F14"/>
    <w:rsid w:val="005D2F49"/>
    <w:rsid w:val="00737F05"/>
    <w:rsid w:val="008330E4"/>
    <w:rsid w:val="00842BD7"/>
    <w:rsid w:val="008F089C"/>
    <w:rsid w:val="0091299E"/>
    <w:rsid w:val="00990BD0"/>
    <w:rsid w:val="00A85F0E"/>
    <w:rsid w:val="00C42D63"/>
    <w:rsid w:val="00C6373E"/>
    <w:rsid w:val="00CA4F6F"/>
    <w:rsid w:val="00CA5455"/>
    <w:rsid w:val="00D43327"/>
    <w:rsid w:val="00DF1903"/>
    <w:rsid w:val="00EF2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1A32D"/>
  <w15:docId w15:val="{7FE05EB3-E98D-42C2-9595-77996870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0"/>
      <w:ind w:left="117"/>
      <w:outlineLvl w:val="0"/>
    </w:pPr>
    <w:rPr>
      <w:b/>
      <w:bCs/>
    </w:rPr>
  </w:style>
  <w:style w:type="paragraph" w:styleId="Heading2">
    <w:name w:val="heading 2"/>
    <w:basedOn w:val="Normal"/>
    <w:uiPriority w:val="1"/>
    <w:qFormat/>
    <w:pPr>
      <w:spacing w:before="7"/>
      <w:ind w:left="117"/>
      <w:outlineLvl w:val="1"/>
    </w:pPr>
    <w:rPr>
      <w:b/>
      <w:bCs/>
      <w:sz w:val="16"/>
      <w:szCs w:val="16"/>
    </w:rPr>
  </w:style>
  <w:style w:type="paragraph" w:styleId="Heading3">
    <w:name w:val="heading 3"/>
    <w:basedOn w:val="Normal"/>
    <w:uiPriority w:val="1"/>
    <w:qFormat/>
    <w:pPr>
      <w:ind w:left="117"/>
      <w:outlineLvl w:val="2"/>
    </w:pPr>
    <w:rPr>
      <w:sz w:val="16"/>
      <w:szCs w:val="16"/>
    </w:rPr>
  </w:style>
  <w:style w:type="paragraph" w:styleId="Heading4">
    <w:name w:val="heading 4"/>
    <w:basedOn w:val="Normal"/>
    <w:uiPriority w:val="1"/>
    <w:qFormat/>
    <w:pPr>
      <w:spacing w:before="6"/>
      <w:ind w:left="117"/>
      <w:outlineLvl w:val="3"/>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0"/>
      <w:szCs w:val="10"/>
    </w:rPr>
  </w:style>
  <w:style w:type="paragraph" w:styleId="ListParagraph">
    <w:name w:val="List Paragraph"/>
    <w:basedOn w:val="Normal"/>
    <w:uiPriority w:val="1"/>
    <w:qFormat/>
    <w:pPr>
      <w:ind w:left="47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Nakama Global</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Watson</dc:creator>
  <cp:lastModifiedBy>Roshan Nadarajah</cp:lastModifiedBy>
  <cp:revision>5</cp:revision>
  <dcterms:created xsi:type="dcterms:W3CDTF">2019-09-17T14:50:00Z</dcterms:created>
  <dcterms:modified xsi:type="dcterms:W3CDTF">2019-09-18T14:19:00Z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LastSaved">
    <vt:filetime>2018-03-21T00:00:00Z</vt:filetime>
  </property>
  <property fmtid="{D5CDD505-2E9C-101B-9397-08002B2CF9AE}" pid="4" name="WS_TRACKING_ID">
    <vt:lpwstr>cee8be9e-3561-41f6-bb25-74fb9ac0a753</vt:lpwstr>
  </property>
</Properties>
</file>